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23459" w14:textId="553A2B28" w:rsidR="00160A0C" w:rsidRDefault="00160A0C" w:rsidP="00FA4027">
      <w:pPr>
        <w:jc w:val="center"/>
        <w:rPr>
          <w:rFonts w:ascii="Titillium" w:hAnsi="Titillium"/>
          <w:b/>
          <w:sz w:val="28"/>
          <w:szCs w:val="28"/>
        </w:rPr>
      </w:pPr>
      <w:r w:rsidRPr="00160A0C">
        <w:rPr>
          <w:rFonts w:ascii="Titillium" w:hAnsi="Titillium"/>
          <w:b/>
          <w:sz w:val="28"/>
          <w:szCs w:val="28"/>
        </w:rPr>
        <w:t>MINTÁZATOK – Na de mihez kezdjünk velük?</w:t>
      </w:r>
    </w:p>
    <w:p w14:paraId="731BA77D" w14:textId="49FF1107" w:rsidR="00160A0C" w:rsidRDefault="003C102F" w:rsidP="00C971ED">
      <w:pPr>
        <w:jc w:val="both"/>
        <w:rPr>
          <w:rFonts w:ascii="Titillium" w:hAnsi="Titillium"/>
          <w:b/>
        </w:rPr>
      </w:pPr>
      <w:r>
        <w:rPr>
          <w:rFonts w:ascii="Titillium" w:hAnsi="Titillium"/>
          <w:b/>
        </w:rPr>
        <w:t>A budapesti Deák17 Gyermek és Ifjúsági Művészeti Galéria MINTÁZATOK című kiállítása</w:t>
      </w:r>
      <w:r w:rsidR="00160A0C" w:rsidRPr="00160A0C">
        <w:rPr>
          <w:rFonts w:ascii="Titillium" w:hAnsi="Titillium"/>
          <w:b/>
        </w:rPr>
        <w:t xml:space="preserve"> a kortárs magyar képzőművészetben megjelenő hímzéssel foglalkozik, 14 olyan alkotó munkásságába engedve betekintést, akik a nagy hagyományú technikát saját gondolataik, mai üzenetek kifejezésére használják. A kiállításon olyan alkotások szerepelnek, melyekben a hímzés, valamely aspektusa ré</w:t>
      </w:r>
      <w:bookmarkStart w:id="0" w:name="_GoBack"/>
      <w:bookmarkEnd w:id="0"/>
      <w:r w:rsidR="00160A0C" w:rsidRPr="00160A0C">
        <w:rPr>
          <w:rFonts w:ascii="Titillium" w:hAnsi="Titillium"/>
          <w:b/>
        </w:rPr>
        <w:t>vén, hozzáadott tartalommal bír – ahol a technika leginkább ürügy, alkalom ennek a tartalomnak a kifejezésére, mely tartalom gyakran ironikus, humoros, vagy é</w:t>
      </w:r>
      <w:r w:rsidR="00160A0C">
        <w:rPr>
          <w:rFonts w:ascii="Titillium" w:hAnsi="Titillium"/>
          <w:b/>
        </w:rPr>
        <w:t>ppen személyes, netán kritikus.</w:t>
      </w:r>
      <w:r w:rsidR="00081A1A">
        <w:rPr>
          <w:rFonts w:ascii="Titillium" w:hAnsi="Titillium"/>
          <w:b/>
        </w:rPr>
        <w:t xml:space="preserve"> Most összeszedtük, mennyi mindent is lehet csinálni a kiállításban.</w:t>
      </w:r>
    </w:p>
    <w:p w14:paraId="05593D03" w14:textId="0FAA1C51" w:rsidR="00B06828" w:rsidRDefault="008E395F" w:rsidP="008E395F">
      <w:pPr>
        <w:jc w:val="center"/>
        <w:rPr>
          <w:rFonts w:ascii="Titillium" w:hAnsi="Titillium"/>
        </w:rPr>
      </w:pPr>
      <w:r>
        <w:rPr>
          <w:rFonts w:ascii="Titillium" w:hAnsi="Titillium"/>
          <w:noProof/>
          <w:lang w:eastAsia="hu-HU"/>
        </w:rPr>
        <w:drawing>
          <wp:inline distT="0" distB="0" distL="0" distR="0" wp14:anchorId="2B14C1E1" wp14:editId="6B65DBE1">
            <wp:extent cx="2700000" cy="1800000"/>
            <wp:effectExtent l="0" t="0" r="5715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S7A391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48DFD" w14:textId="7B5AE160" w:rsidR="00270110" w:rsidRPr="00B06828" w:rsidRDefault="00270110" w:rsidP="00270110">
      <w:pPr>
        <w:jc w:val="both"/>
        <w:rPr>
          <w:rFonts w:ascii="Titillium" w:hAnsi="Titillium"/>
          <w:b/>
        </w:rPr>
      </w:pPr>
      <w:r w:rsidRPr="00B06828">
        <w:rPr>
          <w:rFonts w:ascii="Titillium" w:hAnsi="Titillium"/>
          <w:b/>
        </w:rPr>
        <w:t>1. Hímzést hallgatni</w:t>
      </w:r>
    </w:p>
    <w:p w14:paraId="625D4C26" w14:textId="267D00D1" w:rsidR="004F7CBD" w:rsidRPr="00FA4027" w:rsidRDefault="00FA4027" w:rsidP="00FA4027">
      <w:pPr>
        <w:spacing w:after="120"/>
        <w:jc w:val="both"/>
        <w:rPr>
          <w:rFonts w:ascii="Titillium" w:hAnsi="Titillium"/>
        </w:rPr>
      </w:pPr>
      <w:r>
        <w:rPr>
          <w:rFonts w:ascii="Titillium" w:hAnsi="Titillium"/>
          <w:b/>
          <w:noProof/>
          <w:lang w:eastAsia="hu-HU"/>
        </w:rPr>
        <w:drawing>
          <wp:anchor distT="0" distB="0" distL="114300" distR="114300" simplePos="0" relativeHeight="251661312" behindDoc="1" locked="0" layoutInCell="1" allowOverlap="1" wp14:anchorId="651035FA" wp14:editId="70406CA3">
            <wp:simplePos x="0" y="0"/>
            <wp:positionH relativeFrom="column">
              <wp:posOffset>1576705</wp:posOffset>
            </wp:positionH>
            <wp:positionV relativeFrom="paragraph">
              <wp:posOffset>1449070</wp:posOffset>
            </wp:positionV>
            <wp:extent cx="1199515" cy="1799590"/>
            <wp:effectExtent l="0" t="0" r="635" b="0"/>
            <wp:wrapTopAndBottom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S7A385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tillium" w:hAnsi="Titillium"/>
          <w:b/>
          <w:noProof/>
          <w:lang w:eastAsia="hu-HU"/>
        </w:rPr>
        <w:drawing>
          <wp:anchor distT="0" distB="0" distL="114300" distR="114300" simplePos="0" relativeHeight="251660288" behindDoc="1" locked="0" layoutInCell="1" allowOverlap="1" wp14:anchorId="040A94B7" wp14:editId="1D719A4C">
            <wp:simplePos x="0" y="0"/>
            <wp:positionH relativeFrom="column">
              <wp:posOffset>2891155</wp:posOffset>
            </wp:positionH>
            <wp:positionV relativeFrom="paragraph">
              <wp:posOffset>1449070</wp:posOffset>
            </wp:positionV>
            <wp:extent cx="1199515" cy="1799590"/>
            <wp:effectExtent l="0" t="0" r="635" b="0"/>
            <wp:wrapTight wrapText="bothSides">
              <wp:wrapPolygon edited="0">
                <wp:start x="0" y="0"/>
                <wp:lineTo x="0" y="21265"/>
                <wp:lineTo x="21268" y="21265"/>
                <wp:lineTo x="21268" y="0"/>
                <wp:lineTo x="0" y="0"/>
              </wp:wrapPolygon>
            </wp:wrapTight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S7A381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70110">
        <w:rPr>
          <w:rFonts w:ascii="Titillium" w:hAnsi="Titillium"/>
        </w:rPr>
        <w:t>Szirmay</w:t>
      </w:r>
      <w:proofErr w:type="spellEnd"/>
      <w:r w:rsidR="00270110">
        <w:rPr>
          <w:rFonts w:ascii="Titillium" w:hAnsi="Titillium"/>
        </w:rPr>
        <w:t xml:space="preserve"> Zsanett </w:t>
      </w:r>
      <w:proofErr w:type="spellStart"/>
      <w:r w:rsidR="00270110">
        <w:rPr>
          <w:rFonts w:ascii="Titillium" w:hAnsi="Titillium"/>
        </w:rPr>
        <w:t>Soundweaving</w:t>
      </w:r>
      <w:proofErr w:type="spellEnd"/>
      <w:r w:rsidR="00270110">
        <w:rPr>
          <w:rFonts w:ascii="Titillium" w:hAnsi="Titillium"/>
        </w:rPr>
        <w:t xml:space="preserve"> </w:t>
      </w:r>
      <w:r w:rsidR="00270110" w:rsidRPr="005F075E">
        <w:rPr>
          <w:rFonts w:ascii="Titillium" w:hAnsi="Titillium"/>
        </w:rPr>
        <w:t>– azaz hangszövés – címre keresztelt projekt</w:t>
      </w:r>
      <w:r w:rsidR="00270110">
        <w:rPr>
          <w:rFonts w:ascii="Titillium" w:hAnsi="Titillium"/>
        </w:rPr>
        <w:t>je</w:t>
      </w:r>
      <w:r w:rsidR="00270110" w:rsidRPr="005F075E">
        <w:rPr>
          <w:rFonts w:ascii="Titillium" w:hAnsi="Titillium"/>
        </w:rPr>
        <w:t xml:space="preserve"> azt a kérdést teszi fel, hogy </w:t>
      </w:r>
      <w:r w:rsidR="00270110">
        <w:rPr>
          <w:rFonts w:ascii="Titillium" w:hAnsi="Titillium"/>
        </w:rPr>
        <w:t xml:space="preserve">vajon hogyan szólnának zeneként </w:t>
      </w:r>
      <w:r w:rsidR="00270110" w:rsidRPr="005F075E">
        <w:rPr>
          <w:rFonts w:ascii="Titillium" w:hAnsi="Titillium"/>
        </w:rPr>
        <w:t>a népi motívumok. Azaz, hog</w:t>
      </w:r>
      <w:r w:rsidR="00270110">
        <w:rPr>
          <w:rFonts w:ascii="Titillium" w:hAnsi="Titillium"/>
        </w:rPr>
        <w:t xml:space="preserve">y </w:t>
      </w:r>
      <w:proofErr w:type="spellStart"/>
      <w:r w:rsidR="00270110">
        <w:rPr>
          <w:rFonts w:ascii="Titillium" w:hAnsi="Titillium"/>
        </w:rPr>
        <w:t>megszólaltatható</w:t>
      </w:r>
      <w:proofErr w:type="spellEnd"/>
      <w:r w:rsidR="00270110">
        <w:rPr>
          <w:rFonts w:ascii="Titillium" w:hAnsi="Titillium"/>
        </w:rPr>
        <w:t xml:space="preserve">-e a hímzés? </w:t>
      </w:r>
      <w:r w:rsidR="00270110" w:rsidRPr="005F075E">
        <w:rPr>
          <w:rFonts w:ascii="Titillium" w:hAnsi="Titillium"/>
        </w:rPr>
        <w:t>A projekthez bukovinai székely, kalotaszegi és magyarországi népi keresztszemes hímzések (párnák,</w:t>
      </w:r>
      <w:r w:rsidR="00270110">
        <w:rPr>
          <w:rFonts w:ascii="Titillium" w:hAnsi="Titillium"/>
        </w:rPr>
        <w:t xml:space="preserve"> ingek díszítései) közül váloga</w:t>
      </w:r>
      <w:r w:rsidR="00270110" w:rsidRPr="005F075E">
        <w:rPr>
          <w:rFonts w:ascii="Titillium" w:hAnsi="Titillium"/>
        </w:rPr>
        <w:t xml:space="preserve">tott </w:t>
      </w:r>
      <w:r w:rsidR="00270110">
        <w:rPr>
          <w:rFonts w:ascii="Titillium" w:hAnsi="Titillium"/>
        </w:rPr>
        <w:t>a művész</w:t>
      </w:r>
      <w:r w:rsidR="00270110" w:rsidRPr="005F075E">
        <w:rPr>
          <w:rFonts w:ascii="Titillium" w:hAnsi="Titillium"/>
        </w:rPr>
        <w:t>. Az öltéseket hangjegyekként kezelve átvitte a mintasorokat olyan szalagokra, mint amilyeneket a 19. század elejétől ismert lyukkártyás, z</w:t>
      </w:r>
      <w:r w:rsidR="00270110">
        <w:rPr>
          <w:rFonts w:ascii="Titillium" w:hAnsi="Titillium"/>
        </w:rPr>
        <w:t xml:space="preserve">engőfésűs </w:t>
      </w:r>
      <w:proofErr w:type="spellStart"/>
      <w:r w:rsidR="00270110">
        <w:rPr>
          <w:rFonts w:ascii="Titillium" w:hAnsi="Titillium"/>
        </w:rPr>
        <w:t>zenelejátszókhoz</w:t>
      </w:r>
      <w:proofErr w:type="spellEnd"/>
      <w:r w:rsidR="00270110">
        <w:rPr>
          <w:rFonts w:ascii="Titillium" w:hAnsi="Titillium"/>
        </w:rPr>
        <w:t xml:space="preserve"> hasz</w:t>
      </w:r>
      <w:r w:rsidR="00270110" w:rsidRPr="005F075E">
        <w:rPr>
          <w:rFonts w:ascii="Titillium" w:hAnsi="Titillium"/>
        </w:rPr>
        <w:t>nálnak. A kézzel kilyukasztott szalag ilyen módon kottaként működik –</w:t>
      </w:r>
      <w:r w:rsidR="00270110">
        <w:rPr>
          <w:rFonts w:ascii="Titillium" w:hAnsi="Titillium"/>
        </w:rPr>
        <w:t xml:space="preserve"> amit a kiállításon a látogatók is megszólaltathatnak.</w:t>
      </w:r>
    </w:p>
    <w:p w14:paraId="56204409" w14:textId="5A28A0A4" w:rsidR="00270110" w:rsidRPr="00B06828" w:rsidRDefault="00270110" w:rsidP="00081A1A">
      <w:pPr>
        <w:jc w:val="both"/>
        <w:rPr>
          <w:rFonts w:ascii="Titillium" w:hAnsi="Titillium"/>
          <w:b/>
        </w:rPr>
      </w:pPr>
      <w:r w:rsidRPr="00B06828">
        <w:rPr>
          <w:rFonts w:ascii="Titillium" w:hAnsi="Titillium"/>
          <w:b/>
        </w:rPr>
        <w:t>2. Labirintusban bolyongani</w:t>
      </w:r>
    </w:p>
    <w:p w14:paraId="2EDEFF89" w14:textId="5F6D4F60" w:rsidR="00270110" w:rsidRDefault="00270110" w:rsidP="00270110">
      <w:pPr>
        <w:jc w:val="both"/>
        <w:rPr>
          <w:rFonts w:ascii="Titillium" w:hAnsi="Titillium"/>
        </w:rPr>
      </w:pPr>
      <w:r>
        <w:rPr>
          <w:rFonts w:ascii="Titillium" w:hAnsi="Titillium"/>
        </w:rPr>
        <w:t xml:space="preserve">Richter </w:t>
      </w:r>
      <w:proofErr w:type="gramStart"/>
      <w:r>
        <w:rPr>
          <w:rFonts w:ascii="Titillium" w:hAnsi="Titillium"/>
        </w:rPr>
        <w:t>Sára</w:t>
      </w:r>
      <w:proofErr w:type="gramEnd"/>
      <w:r>
        <w:rPr>
          <w:rFonts w:ascii="Titillium" w:hAnsi="Titillium"/>
        </w:rPr>
        <w:t xml:space="preserve"> Ami személyes című vászonmunkája összességében több mint 50 méter hosszú – ebből egy kiemelt részlet szerepel a kiállításon. </w:t>
      </w:r>
      <w:r w:rsidRPr="005F075E">
        <w:rPr>
          <w:rFonts w:ascii="Titillium" w:hAnsi="Titillium"/>
        </w:rPr>
        <w:t xml:space="preserve">Az egyetlen hosszú folyammá </w:t>
      </w:r>
      <w:proofErr w:type="spellStart"/>
      <w:r w:rsidRPr="005F075E">
        <w:rPr>
          <w:rFonts w:ascii="Titillium" w:hAnsi="Titillium"/>
        </w:rPr>
        <w:t>összevarrt</w:t>
      </w:r>
      <w:proofErr w:type="spellEnd"/>
      <w:r w:rsidRPr="005F075E">
        <w:rPr>
          <w:rFonts w:ascii="Titillium" w:hAnsi="Titillium"/>
        </w:rPr>
        <w:t xml:space="preserve"> vászoncsíkok a térben úgy jelennek meg, mint egy labirintus, ami arra hívja fel a nézőt, hogy lépjen közel, vesszen el kicsit az útvesztőben. Az alkotás személyes önvallomás – egyúttal egy önmagába </w:t>
      </w:r>
      <w:r w:rsidRPr="005F075E">
        <w:rPr>
          <w:rFonts w:ascii="Titillium" w:hAnsi="Titillium"/>
        </w:rPr>
        <w:lastRenderedPageBreak/>
        <w:t>visszaforduló, tex</w:t>
      </w:r>
      <w:r w:rsidR="003C102F">
        <w:rPr>
          <w:rFonts w:ascii="Titillium" w:hAnsi="Titillium"/>
        </w:rPr>
        <w:t>t</w:t>
      </w:r>
      <w:r w:rsidRPr="005F075E">
        <w:rPr>
          <w:rFonts w:ascii="Titillium" w:hAnsi="Titillium"/>
        </w:rPr>
        <w:t>ilből felépített térrészlet (</w:t>
      </w:r>
      <w:proofErr w:type="spellStart"/>
      <w:r w:rsidRPr="005F075E">
        <w:rPr>
          <w:rFonts w:ascii="Titillium" w:hAnsi="Titillium"/>
        </w:rPr>
        <w:t>environment</w:t>
      </w:r>
      <w:proofErr w:type="spellEnd"/>
      <w:r w:rsidRPr="005F075E">
        <w:rPr>
          <w:rFonts w:ascii="Titillium" w:hAnsi="Titillium"/>
        </w:rPr>
        <w:t>). Érzelmileg, pszichésen, de fizikailag is b</w:t>
      </w:r>
      <w:r>
        <w:rPr>
          <w:rFonts w:ascii="Titillium" w:hAnsi="Titillium"/>
        </w:rPr>
        <w:t xml:space="preserve">ehívja a nézőt a saját terébe. </w:t>
      </w:r>
      <w:r w:rsidRPr="005F075E">
        <w:rPr>
          <w:rFonts w:ascii="Titillium" w:hAnsi="Titillium"/>
        </w:rPr>
        <w:t xml:space="preserve">A labirintusban szó szerint bejárhatjuk azt a személyes történetet, amit </w:t>
      </w:r>
      <w:r>
        <w:rPr>
          <w:rFonts w:ascii="Titillium" w:hAnsi="Titillium"/>
        </w:rPr>
        <w:t>az alkotó</w:t>
      </w:r>
      <w:r w:rsidRPr="005F075E">
        <w:rPr>
          <w:rFonts w:ascii="Titillium" w:hAnsi="Titillium"/>
        </w:rPr>
        <w:t xml:space="preserve"> ebben a műrészletben megoszt velünk, a látottakból pedig itt-ott akár saját életünkre is ráismerhetünk.</w:t>
      </w:r>
    </w:p>
    <w:p w14:paraId="6A71A292" w14:textId="3D55FF46" w:rsidR="00270110" w:rsidRDefault="008E395F" w:rsidP="008E395F">
      <w:pPr>
        <w:jc w:val="center"/>
        <w:rPr>
          <w:rFonts w:ascii="Titillium" w:hAnsi="Titillium"/>
          <w:b/>
        </w:rPr>
      </w:pPr>
      <w:r>
        <w:rPr>
          <w:rFonts w:ascii="Titillium" w:hAnsi="Titillium"/>
          <w:b/>
          <w:noProof/>
          <w:lang w:eastAsia="hu-HU"/>
        </w:rPr>
        <w:drawing>
          <wp:inline distT="0" distB="0" distL="0" distR="0" wp14:anchorId="272EE777" wp14:editId="55D6F4D9">
            <wp:extent cx="2700000" cy="1800000"/>
            <wp:effectExtent l="0" t="0" r="5715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S7A393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1AD6D" w14:textId="77777777" w:rsidR="00270110" w:rsidRPr="00B06828" w:rsidRDefault="00270110" w:rsidP="00270110">
      <w:pPr>
        <w:jc w:val="both"/>
        <w:rPr>
          <w:rFonts w:ascii="Titillium" w:hAnsi="Titillium"/>
          <w:b/>
        </w:rPr>
      </w:pPr>
      <w:r w:rsidRPr="00B06828">
        <w:rPr>
          <w:rFonts w:ascii="Titillium" w:hAnsi="Titillium"/>
          <w:b/>
        </w:rPr>
        <w:t>3. Családi fényképeket lapozgatni</w:t>
      </w:r>
    </w:p>
    <w:p w14:paraId="1B068638" w14:textId="6A6F6360" w:rsidR="00270110" w:rsidRPr="00FA4027" w:rsidRDefault="00081A1A" w:rsidP="00C971ED">
      <w:pPr>
        <w:jc w:val="both"/>
        <w:rPr>
          <w:rFonts w:ascii="Titillium" w:hAnsi="Titillium"/>
        </w:rPr>
      </w:pPr>
      <w:r>
        <w:rPr>
          <w:rFonts w:ascii="Titillium" w:hAnsi="Titillium"/>
          <w:b/>
          <w:noProof/>
          <w:lang w:eastAsia="hu-HU"/>
        </w:rPr>
        <w:drawing>
          <wp:anchor distT="0" distB="0" distL="114300" distR="114300" simplePos="0" relativeHeight="251663360" behindDoc="1" locked="0" layoutInCell="1" allowOverlap="1" wp14:anchorId="78B212CE" wp14:editId="4A40E88B">
            <wp:simplePos x="0" y="0"/>
            <wp:positionH relativeFrom="column">
              <wp:posOffset>1714500</wp:posOffset>
            </wp:positionH>
            <wp:positionV relativeFrom="paragraph">
              <wp:posOffset>1645920</wp:posOffset>
            </wp:positionV>
            <wp:extent cx="1199515" cy="1799590"/>
            <wp:effectExtent l="0" t="0" r="635" b="0"/>
            <wp:wrapTopAndBottom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S7A394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tillium" w:hAnsi="Titillium"/>
          <w:b/>
          <w:noProof/>
          <w:lang w:eastAsia="hu-HU"/>
        </w:rPr>
        <w:drawing>
          <wp:anchor distT="0" distB="0" distL="114300" distR="114300" simplePos="0" relativeHeight="251662336" behindDoc="1" locked="0" layoutInCell="1" allowOverlap="1" wp14:anchorId="1224F23D" wp14:editId="4A4EC245">
            <wp:simplePos x="0" y="0"/>
            <wp:positionH relativeFrom="column">
              <wp:posOffset>3033395</wp:posOffset>
            </wp:positionH>
            <wp:positionV relativeFrom="paragraph">
              <wp:posOffset>1645285</wp:posOffset>
            </wp:positionV>
            <wp:extent cx="1199515" cy="1799590"/>
            <wp:effectExtent l="0" t="0" r="635" b="0"/>
            <wp:wrapTight wrapText="bothSides">
              <wp:wrapPolygon edited="0">
                <wp:start x="0" y="0"/>
                <wp:lineTo x="0" y="21265"/>
                <wp:lineTo x="21268" y="21265"/>
                <wp:lineTo x="21268" y="0"/>
                <wp:lineTo x="0" y="0"/>
              </wp:wrapPolygon>
            </wp:wrapTight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S7A395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70110">
        <w:rPr>
          <w:rFonts w:ascii="Titillium" w:hAnsi="Titillium"/>
        </w:rPr>
        <w:t>Kusnyár</w:t>
      </w:r>
      <w:proofErr w:type="spellEnd"/>
      <w:r w:rsidR="00270110">
        <w:rPr>
          <w:rFonts w:ascii="Titillium" w:hAnsi="Titillium"/>
        </w:rPr>
        <w:t xml:space="preserve"> Eveline </w:t>
      </w:r>
      <w:proofErr w:type="spellStart"/>
      <w:r w:rsidR="00270110" w:rsidRPr="00B25DCF">
        <w:rPr>
          <w:rFonts w:ascii="Titillium" w:hAnsi="Titillium"/>
        </w:rPr>
        <w:t>Hacienda</w:t>
      </w:r>
      <w:proofErr w:type="spellEnd"/>
      <w:r w:rsidR="00270110" w:rsidRPr="00B25DCF">
        <w:rPr>
          <w:rFonts w:ascii="Titillium" w:hAnsi="Titillium"/>
        </w:rPr>
        <w:t xml:space="preserve"> címet viselő sorozat</w:t>
      </w:r>
      <w:r w:rsidR="00270110">
        <w:rPr>
          <w:rFonts w:ascii="Titillium" w:hAnsi="Titillium"/>
        </w:rPr>
        <w:t>a</w:t>
      </w:r>
      <w:r w:rsidR="00270110" w:rsidRPr="00B25DCF">
        <w:rPr>
          <w:rFonts w:ascii="Titillium" w:hAnsi="Titillium"/>
        </w:rPr>
        <w:t xml:space="preserve"> három fázisban készült, végig</w:t>
      </w:r>
      <w:r>
        <w:rPr>
          <w:rFonts w:ascii="Titillium" w:hAnsi="Titillium"/>
        </w:rPr>
        <w:t xml:space="preserve"> </w:t>
      </w:r>
      <w:r w:rsidR="00270110" w:rsidRPr="00B25DCF">
        <w:rPr>
          <w:rFonts w:ascii="Titillium" w:hAnsi="Titillium"/>
        </w:rPr>
        <w:t>kísérve a legfontosabb változásokat egy család életében: az új házba való beköltözést, az első, majd a második gyermek megszületését.  A sorozat alapját fekete-fehér fotók képezik, melyek a felújítást, a sok éven át tartó építkezést rögzítik.</w:t>
      </w:r>
      <w:r w:rsidR="00270110">
        <w:rPr>
          <w:rFonts w:ascii="Titillium" w:hAnsi="Titillium"/>
        </w:rPr>
        <w:t xml:space="preserve"> Meglehetősen s</w:t>
      </w:r>
      <w:r w:rsidR="00270110" w:rsidRPr="00B25DCF">
        <w:rPr>
          <w:rFonts w:ascii="Titillium" w:hAnsi="Titillium"/>
        </w:rPr>
        <w:t>zemélyes indíttatásból nyúlt</w:t>
      </w:r>
      <w:r w:rsidR="00270110">
        <w:rPr>
          <w:rFonts w:ascii="Titillium" w:hAnsi="Titillium"/>
        </w:rPr>
        <w:t xml:space="preserve"> </w:t>
      </w:r>
      <w:proofErr w:type="spellStart"/>
      <w:r w:rsidR="00270110">
        <w:rPr>
          <w:rFonts w:ascii="Titillium" w:hAnsi="Titillium"/>
        </w:rPr>
        <w:t>Kusnyár</w:t>
      </w:r>
      <w:proofErr w:type="spellEnd"/>
      <w:r w:rsidR="00270110">
        <w:rPr>
          <w:rFonts w:ascii="Titillium" w:hAnsi="Titillium"/>
        </w:rPr>
        <w:t xml:space="preserve"> Eveline itt</w:t>
      </w:r>
      <w:r w:rsidR="00270110" w:rsidRPr="00B25DCF">
        <w:rPr>
          <w:rFonts w:ascii="Titillium" w:hAnsi="Titillium"/>
        </w:rPr>
        <w:t xml:space="preserve"> a hímzés technikájához. Az anyaság megélését végig</w:t>
      </w:r>
      <w:r>
        <w:rPr>
          <w:rFonts w:ascii="Titillium" w:hAnsi="Titillium"/>
        </w:rPr>
        <w:t xml:space="preserve"> </w:t>
      </w:r>
      <w:r w:rsidR="00270110" w:rsidRPr="00B25DCF">
        <w:rPr>
          <w:rFonts w:ascii="Titillium" w:hAnsi="Titillium"/>
        </w:rPr>
        <w:t>követő képeken a babaruhák és pelenkák jellemző figuráit vitte fel a fotók felszínére. A két réteg – fotó és hímzés, házfelújítás és gyermeknevelés – termékenyen értelmezi újra egymást, miközben egy személyes, érzelmes időszakba enged betekintést.</w:t>
      </w:r>
    </w:p>
    <w:p w14:paraId="049F3C3D" w14:textId="77777777" w:rsidR="00270110" w:rsidRPr="00B06828" w:rsidRDefault="00270110" w:rsidP="00270110">
      <w:pPr>
        <w:jc w:val="both"/>
        <w:rPr>
          <w:rFonts w:ascii="Titillium" w:hAnsi="Titillium"/>
          <w:b/>
        </w:rPr>
      </w:pPr>
      <w:r w:rsidRPr="00B06828">
        <w:rPr>
          <w:rFonts w:ascii="Titillium" w:hAnsi="Titillium"/>
          <w:b/>
        </w:rPr>
        <w:t>4. Optikai játékokkal játszani</w:t>
      </w:r>
    </w:p>
    <w:p w14:paraId="6BD691F3" w14:textId="77777777" w:rsidR="00270110" w:rsidRDefault="00270110" w:rsidP="00270110">
      <w:pPr>
        <w:jc w:val="both"/>
        <w:rPr>
          <w:rFonts w:ascii="Titillium" w:hAnsi="Titillium"/>
        </w:rPr>
      </w:pPr>
      <w:r>
        <w:rPr>
          <w:rFonts w:ascii="Titillium" w:hAnsi="Titillium"/>
        </w:rPr>
        <w:t>Egy</w:t>
      </w:r>
      <w:r w:rsidRPr="00B25DCF">
        <w:rPr>
          <w:rFonts w:ascii="Titillium" w:hAnsi="Titillium"/>
        </w:rPr>
        <w:t xml:space="preserve"> hagyományidéző, hímzett dekorációkkal, ugyanakkor kort</w:t>
      </w:r>
      <w:r>
        <w:rPr>
          <w:rFonts w:ascii="Titillium" w:hAnsi="Titillium"/>
        </w:rPr>
        <w:t xml:space="preserve">árs utalásokkal teli szobabelsőt idéz meg </w:t>
      </w:r>
      <w:proofErr w:type="spellStart"/>
      <w:r>
        <w:rPr>
          <w:rFonts w:ascii="Titillium" w:hAnsi="Titillium"/>
        </w:rPr>
        <w:t>Pittmann</w:t>
      </w:r>
      <w:proofErr w:type="spellEnd"/>
      <w:r>
        <w:rPr>
          <w:rFonts w:ascii="Titillium" w:hAnsi="Titillium"/>
        </w:rPr>
        <w:t xml:space="preserve"> Zsófi installációja. A hímzett tárgyak azonban, melyek ebben a szobában megtalálhatók, mind kettős arcúak. Látványviláguk</w:t>
      </w:r>
      <w:r w:rsidRPr="00B25DCF">
        <w:rPr>
          <w:rFonts w:ascii="Titillium" w:hAnsi="Titillium"/>
        </w:rPr>
        <w:t>ban a népművészetből merít</w:t>
      </w:r>
      <w:r>
        <w:rPr>
          <w:rFonts w:ascii="Titillium" w:hAnsi="Titillium"/>
        </w:rPr>
        <w:t>enek</w:t>
      </w:r>
      <w:r w:rsidRPr="00B25DCF">
        <w:rPr>
          <w:rFonts w:ascii="Titillium" w:hAnsi="Titillium"/>
        </w:rPr>
        <w:t xml:space="preserve"> – t</w:t>
      </w:r>
      <w:r>
        <w:rPr>
          <w:rFonts w:ascii="Titillium" w:hAnsi="Titillium"/>
        </w:rPr>
        <w:t>artalmilag azonban nagyon is maiak. Ilyen az az asztalterítő is, melyen a</w:t>
      </w:r>
      <w:r w:rsidRPr="00B25DCF">
        <w:rPr>
          <w:rFonts w:ascii="Titillium" w:hAnsi="Titillium"/>
        </w:rPr>
        <w:t xml:space="preserve"> </w:t>
      </w:r>
      <w:proofErr w:type="spellStart"/>
      <w:r w:rsidRPr="00B25DCF">
        <w:rPr>
          <w:rFonts w:ascii="Titillium" w:hAnsi="Titillium"/>
        </w:rPr>
        <w:t>Kill</w:t>
      </w:r>
      <w:proofErr w:type="spellEnd"/>
      <w:r w:rsidRPr="00B25DCF">
        <w:rPr>
          <w:rFonts w:ascii="Titillium" w:hAnsi="Titillium"/>
        </w:rPr>
        <w:t xml:space="preserve"> Bill című </w:t>
      </w:r>
      <w:proofErr w:type="spellStart"/>
      <w:r w:rsidRPr="00B25DCF">
        <w:rPr>
          <w:rFonts w:ascii="Titillium" w:hAnsi="Titillium"/>
        </w:rPr>
        <w:t>Tarantino</w:t>
      </w:r>
      <w:proofErr w:type="spellEnd"/>
      <w:r w:rsidRPr="00B25DCF">
        <w:rPr>
          <w:rFonts w:ascii="Titillium" w:hAnsi="Titillium"/>
        </w:rPr>
        <w:t xml:space="preserve"> filmre</w:t>
      </w:r>
      <w:r>
        <w:rPr>
          <w:rFonts w:ascii="Titillium" w:hAnsi="Titillium"/>
        </w:rPr>
        <w:t xml:space="preserve"> vehet észre utalást a figyelmes, optikai trükkükre érzékeny néző. Ezen a terítőn ugyanis</w:t>
      </w:r>
      <w:r w:rsidRPr="00B25DCF">
        <w:rPr>
          <w:rFonts w:ascii="Titillium" w:hAnsi="Titillium"/>
        </w:rPr>
        <w:t xml:space="preserve"> az </w:t>
      </w:r>
      <w:proofErr w:type="spellStart"/>
      <w:r w:rsidRPr="00B25DCF">
        <w:rPr>
          <w:rFonts w:ascii="Titillium" w:hAnsi="Titillium"/>
        </w:rPr>
        <w:t>anamorfózis</w:t>
      </w:r>
      <w:proofErr w:type="spellEnd"/>
      <w:r w:rsidRPr="00B25DCF">
        <w:rPr>
          <w:rFonts w:ascii="Titillium" w:hAnsi="Titillium"/>
        </w:rPr>
        <w:t xml:space="preserve"> optikai játékát figyelhetjük meg. A középkor óta ismert eljárás révén a felismerhetetlenné torzított kép a tükröződés révén válik értelmezhetővé.</w:t>
      </w:r>
    </w:p>
    <w:p w14:paraId="3E425F47" w14:textId="1AA4FAD7" w:rsidR="00270110" w:rsidRDefault="008E395F" w:rsidP="008E395F">
      <w:pPr>
        <w:jc w:val="center"/>
        <w:rPr>
          <w:rFonts w:ascii="Titillium" w:hAnsi="Titillium"/>
          <w:b/>
        </w:rPr>
      </w:pPr>
      <w:r>
        <w:rPr>
          <w:rFonts w:ascii="Titillium" w:hAnsi="Titillium"/>
          <w:b/>
          <w:noProof/>
          <w:lang w:eastAsia="hu-HU"/>
        </w:rPr>
        <w:lastRenderedPageBreak/>
        <w:drawing>
          <wp:inline distT="0" distB="0" distL="0" distR="0" wp14:anchorId="4637C29A" wp14:editId="004DB396">
            <wp:extent cx="2700000" cy="1800000"/>
            <wp:effectExtent l="0" t="0" r="5715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S7A388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A1965" w14:textId="77777777" w:rsidR="00270110" w:rsidRPr="00B06828" w:rsidRDefault="00270110" w:rsidP="00270110">
      <w:pPr>
        <w:jc w:val="both"/>
        <w:rPr>
          <w:rFonts w:ascii="Titillium" w:hAnsi="Titillium"/>
          <w:b/>
        </w:rPr>
      </w:pPr>
      <w:r w:rsidRPr="00B06828">
        <w:rPr>
          <w:rFonts w:ascii="Titillium" w:hAnsi="Titillium"/>
          <w:b/>
        </w:rPr>
        <w:t>5. Hímezni, és közben egy közösségi akcióban is részt venni</w:t>
      </w:r>
    </w:p>
    <w:p w14:paraId="168CFD74" w14:textId="77777777" w:rsidR="00270110" w:rsidRPr="0062571A" w:rsidRDefault="00270110" w:rsidP="00270110">
      <w:pPr>
        <w:jc w:val="both"/>
        <w:rPr>
          <w:rFonts w:ascii="Titillium" w:hAnsi="Titillium"/>
        </w:rPr>
      </w:pPr>
      <w:r w:rsidRPr="0062571A">
        <w:rPr>
          <w:rFonts w:ascii="Titillium" w:hAnsi="Titillium"/>
        </w:rPr>
        <w:t>12 négyzetméter: ennyi az alapterülete a standard, 504 x 238 cm-es óriásplakátoknak, melyekkel itthon és Európa-szerte tele vannak az utcák. A kereskedelmi vagy politikai hirdetések egyetlen feladó üzenetét közvetítik sokak felé – Szabó Eszter Ágnes közösségi projektjében kísérletet tesz a folyamat megfordítására, és egy azonos méretű felületen, 12 nm-en, lehetőséget biztosít bárkinek, hogy otthagyja a saját üzenetét. Az óriásplakátok által betöltött kommunikációs helyzet kiforgatása teret enged a valós aktivitásnak, és a hímzés jellemzően lassú, magányos tevékenysége közösségi projektté válik.</w:t>
      </w:r>
      <w:r>
        <w:rPr>
          <w:rFonts w:ascii="Titillium" w:hAnsi="Titillium"/>
        </w:rPr>
        <w:t xml:space="preserve"> </w:t>
      </w:r>
      <w:r w:rsidRPr="0062571A">
        <w:rPr>
          <w:rFonts w:ascii="Titillium" w:hAnsi="Titillium"/>
        </w:rPr>
        <w:t>Az alkotás 2018-ban a MODEM-</w:t>
      </w:r>
      <w:proofErr w:type="spellStart"/>
      <w:r w:rsidRPr="0062571A">
        <w:rPr>
          <w:rFonts w:ascii="Titillium" w:hAnsi="Titillium"/>
        </w:rPr>
        <w:t>ben</w:t>
      </w:r>
      <w:proofErr w:type="spellEnd"/>
      <w:r w:rsidRPr="0062571A">
        <w:rPr>
          <w:rFonts w:ascii="Titillium" w:hAnsi="Titillium"/>
        </w:rPr>
        <w:t>, 2020-ban a Ludwig Múzeumban volt kiállítva és bővült a látogatók hímzéseivel.</w:t>
      </w:r>
      <w:r>
        <w:rPr>
          <w:rFonts w:ascii="Titillium" w:hAnsi="Titillium"/>
        </w:rPr>
        <w:t xml:space="preserve"> Most pedig nálunk, a Mintázatok kiállításon várunk mindenkit, hogy ki-ki hagyja itt a saját hímzett üzenetét, jeleit a közös felületen.</w:t>
      </w:r>
    </w:p>
    <w:p w14:paraId="742C13F7" w14:textId="4EDA0EAB" w:rsidR="00160A0C" w:rsidRPr="00FA4027" w:rsidRDefault="008E395F" w:rsidP="00FA4027">
      <w:pPr>
        <w:jc w:val="center"/>
        <w:rPr>
          <w:rFonts w:ascii="Titillium" w:hAnsi="Titillium"/>
          <w:b/>
        </w:rPr>
      </w:pPr>
      <w:r>
        <w:rPr>
          <w:rFonts w:ascii="Titillium" w:hAnsi="Titillium"/>
          <w:b/>
          <w:noProof/>
          <w:lang w:eastAsia="hu-HU"/>
        </w:rPr>
        <w:drawing>
          <wp:inline distT="0" distB="0" distL="0" distR="0" wp14:anchorId="7493E248" wp14:editId="7626B88D">
            <wp:extent cx="2700000" cy="1800000"/>
            <wp:effectExtent l="0" t="0" r="5715" b="0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S7A377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C93F5" w14:textId="0E51D383" w:rsidR="001957AF" w:rsidRDefault="004F3C39" w:rsidP="004F3C39">
      <w:pPr>
        <w:spacing w:after="0"/>
        <w:jc w:val="both"/>
        <w:rPr>
          <w:rFonts w:ascii="Titillium" w:hAnsi="Titillium"/>
        </w:rPr>
      </w:pPr>
      <w:r>
        <w:rPr>
          <w:rFonts w:ascii="Titillium" w:hAnsi="Titillium"/>
        </w:rPr>
        <w:t xml:space="preserve">Helyszín: </w:t>
      </w:r>
      <w:r w:rsidRPr="004F3C39">
        <w:rPr>
          <w:rFonts w:ascii="Titillium" w:hAnsi="Titillium"/>
        </w:rPr>
        <w:t>1052 Budapest Deák Ferenc utca 17. I. emelet</w:t>
      </w:r>
    </w:p>
    <w:p w14:paraId="5F1FDF41" w14:textId="18438590" w:rsidR="004F3C39" w:rsidRPr="004F3C39" w:rsidRDefault="004F3C39" w:rsidP="004F3C39">
      <w:pPr>
        <w:spacing w:after="0"/>
        <w:jc w:val="both"/>
        <w:rPr>
          <w:rFonts w:ascii="Titillium" w:hAnsi="Titillium"/>
        </w:rPr>
      </w:pPr>
      <w:r w:rsidRPr="004F3C39">
        <w:rPr>
          <w:rFonts w:ascii="Titillium" w:hAnsi="Titillium"/>
        </w:rPr>
        <w:t>N</w:t>
      </w:r>
      <w:r w:rsidR="00160A0C">
        <w:rPr>
          <w:rFonts w:ascii="Titillium" w:hAnsi="Titillium"/>
        </w:rPr>
        <w:t xml:space="preserve">yári </w:t>
      </w:r>
      <w:proofErr w:type="spellStart"/>
      <w:r w:rsidR="00160A0C">
        <w:rPr>
          <w:rFonts w:ascii="Titillium" w:hAnsi="Titillium"/>
        </w:rPr>
        <w:t>n</w:t>
      </w:r>
      <w:r w:rsidRPr="004F3C39">
        <w:rPr>
          <w:rFonts w:ascii="Titillium" w:hAnsi="Titillium"/>
        </w:rPr>
        <w:t>yitvatar</w:t>
      </w:r>
      <w:r w:rsidR="00160A0C">
        <w:rPr>
          <w:rFonts w:ascii="Titillium" w:hAnsi="Titillium"/>
        </w:rPr>
        <w:t>tás</w:t>
      </w:r>
      <w:proofErr w:type="spellEnd"/>
      <w:r w:rsidR="00160A0C">
        <w:rPr>
          <w:rFonts w:ascii="Titillium" w:hAnsi="Titillium"/>
        </w:rPr>
        <w:t>: Hétfő</w:t>
      </w:r>
      <w:r w:rsidRPr="004F3C39">
        <w:rPr>
          <w:rFonts w:ascii="Titillium" w:hAnsi="Titillium"/>
        </w:rPr>
        <w:t>–Péntek: 10.00–18.00, Szombat</w:t>
      </w:r>
      <w:r w:rsidR="00160A0C">
        <w:rPr>
          <w:rFonts w:ascii="Titillium" w:hAnsi="Titillium"/>
        </w:rPr>
        <w:t>-Vasárnap</w:t>
      </w:r>
      <w:r w:rsidRPr="004F3C39">
        <w:rPr>
          <w:rFonts w:ascii="Titillium" w:hAnsi="Titillium"/>
        </w:rPr>
        <w:t>: zárva</w:t>
      </w:r>
    </w:p>
    <w:p w14:paraId="7E652FE1" w14:textId="5248A4D3" w:rsidR="001957AF" w:rsidRDefault="001957AF" w:rsidP="00512D5E">
      <w:pPr>
        <w:spacing w:after="0"/>
        <w:jc w:val="both"/>
        <w:rPr>
          <w:rFonts w:ascii="Titillium" w:hAnsi="Titillium"/>
        </w:rPr>
      </w:pPr>
    </w:p>
    <w:p w14:paraId="754CB935" w14:textId="644DC20C" w:rsidR="00A85ABF" w:rsidRPr="008D5DF6" w:rsidRDefault="004F3C39" w:rsidP="00512D5E">
      <w:pPr>
        <w:spacing w:after="0"/>
        <w:jc w:val="both"/>
        <w:rPr>
          <w:rFonts w:ascii="Titillium" w:hAnsi="Titillium"/>
          <w:b/>
        </w:rPr>
      </w:pPr>
      <w:r>
        <w:rPr>
          <w:rFonts w:ascii="Titillium" w:hAnsi="Titillium"/>
          <w:b/>
        </w:rPr>
        <w:t>További információ</w:t>
      </w:r>
      <w:r w:rsidR="00A85ABF" w:rsidRPr="008D5DF6">
        <w:rPr>
          <w:rFonts w:ascii="Titillium" w:hAnsi="Titillium"/>
          <w:b/>
        </w:rPr>
        <w:t>:</w:t>
      </w:r>
    </w:p>
    <w:p w14:paraId="3861FCCE" w14:textId="223A03D0" w:rsidR="004F7CBD" w:rsidRDefault="00934F79" w:rsidP="00160A0C">
      <w:pPr>
        <w:spacing w:after="0"/>
        <w:jc w:val="both"/>
        <w:rPr>
          <w:rFonts w:ascii="Titillium" w:hAnsi="Titillium"/>
        </w:rPr>
      </w:pPr>
      <w:hyperlink r:id="rId14" w:history="1">
        <w:r w:rsidR="00160A0C" w:rsidRPr="00496F9C">
          <w:rPr>
            <w:rStyle w:val="Hiperhivatkozs"/>
            <w:rFonts w:ascii="Titillium" w:hAnsi="Titillium"/>
          </w:rPr>
          <w:t>https://www.deak17galeria.hu/kiallitasok/mintazatok/</w:t>
        </w:r>
      </w:hyperlink>
      <w:r w:rsidR="00160A0C">
        <w:rPr>
          <w:rFonts w:ascii="Titillium" w:hAnsi="Titillium"/>
        </w:rPr>
        <w:t xml:space="preserve"> </w:t>
      </w:r>
    </w:p>
    <w:p w14:paraId="64487B9A" w14:textId="1DC41AF7" w:rsidR="004F3C39" w:rsidRDefault="004F3C39" w:rsidP="00854DF2">
      <w:pPr>
        <w:spacing w:before="120" w:after="0"/>
        <w:jc w:val="both"/>
        <w:rPr>
          <w:rFonts w:ascii="Titillium" w:hAnsi="Titillium"/>
          <w:sz w:val="20"/>
        </w:rPr>
      </w:pPr>
      <w:r>
        <w:rPr>
          <w:rFonts w:ascii="Titillium" w:hAnsi="Titillium"/>
          <w:noProof/>
          <w:sz w:val="20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B49CE" wp14:editId="5B23DF56">
                <wp:simplePos x="0" y="0"/>
                <wp:positionH relativeFrom="column">
                  <wp:posOffset>-10795</wp:posOffset>
                </wp:positionH>
                <wp:positionV relativeFrom="paragraph">
                  <wp:posOffset>166370</wp:posOffset>
                </wp:positionV>
                <wp:extent cx="5760000" cy="0"/>
                <wp:effectExtent l="0" t="0" r="31750" b="19050"/>
                <wp:wrapNone/>
                <wp:docPr id="3" name="Egyenes összekötő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CFD7CD" id="Egyenes összekötő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5pt,13.1pt" to="452.7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HeP7QEAAB0EAAAOAAAAZHJzL2Uyb0RvYy54bWysU0tu2zAQ3RfoHQjua8kO4haC5SySppt+&#10;jH4OQFNDmQh/IBlL6i16mVwg6L06pGQlaNIuimpB8TPvvXnD4eai14ocwQdpTU2Xi5ISMNw20rQ1&#10;/fb1+tUbSkJkpmHKGqjpAIFebF++2HSugpU9WNWAJ0hiQtW5mh5idFVRBH4AzcLCOjB4KKzXLOLS&#10;t0XjWYfsWhWrslwXnfWN85ZDCLh7NR7SbeYXAnj8JESASFRNMbeYR5/HfRqL7YZVrWfuIPmUBvuH&#10;LDSTBkVnqisWGbn18gmVltzbYEVccKsLK4TkkD2gm2X5m5svB+Yge8HiBDeXKfw/Wv7xuPNENjU9&#10;o8QwjVf0th3AQCD3dyF8h5v7u/jzBzlLlepcqBBwaXZ+WgW388l2L7xOfzRE+lzdYa4u9JFw3Dx/&#10;vS7xo4SfzooHoPMhvgOrSZrUVEmTjLOKHd+HiGIYegpJ28qkMVglm2upVF6kloFL5cmR4WXv22Um&#10;ULf6g23GvfV50h/Zcoel8Mz9iAmVEnuRzI728iwOCkblzyCwYGholQVmolGjuVlOCspgZIIIzHAG&#10;lX8HTbEJBrl9Z+Bo549qc3RWtCbOQC2N9c+pxv6UqhjjT65Hr8n23jZDvuxcDuzBXK3pvaQmf7zO&#10;8IdXvf0FAAD//wMAUEsDBBQABgAIAAAAIQCYy08i3AAAAAgBAAAPAAAAZHJzL2Rvd25yZXYueG1s&#10;TI/BTsMwEETvSPyDtUhcUGvHooWGOBVCqjjTVhVHN94mEfE6xG4b+HoWcSjH3RnNvCmWo+/ECYfY&#10;BjKQTRUIpCq4lmoD281q8ggiJkvOdoHQwBdGWJbXV4XNXTjTG57WqRYcQjG3BpqU+lzKWDXobZyG&#10;Hom1Qxi8TXwOtXSDPXO476RWai69bYkbGtvjS4PVx/rouWT17jao73Z2+/25U+416GwWjLm9GZ+f&#10;QCQc08UMv/iMDiUz7cORXBSdgUn2wE4Deq5BsL5Qs3sQ+7+HLAv5f0D5AwAA//8DAFBLAQItABQA&#10;BgAIAAAAIQC2gziS/gAAAOEBAAATAAAAAAAAAAAAAAAAAAAAAABbQ29udGVudF9UeXBlc10ueG1s&#10;UEsBAi0AFAAGAAgAAAAhADj9If/WAAAAlAEAAAsAAAAAAAAAAAAAAAAALwEAAF9yZWxzLy5yZWxz&#10;UEsBAi0AFAAGAAgAAAAhAMccd4/tAQAAHQQAAA4AAAAAAAAAAAAAAAAALgIAAGRycy9lMm9Eb2Mu&#10;eG1sUEsBAi0AFAAGAAgAAAAhAJjLTyLcAAAACAEAAA8AAAAAAAAAAAAAAAAARwQAAGRycy9kb3du&#10;cmV2LnhtbFBLBQYAAAAABAAEAPMAAABQBQAAAAA=&#10;" strokecolor="#a5a5a5 [2092]" strokeweight="1pt">
                <v:stroke joinstyle="miter"/>
              </v:line>
            </w:pict>
          </mc:Fallback>
        </mc:AlternateContent>
      </w:r>
    </w:p>
    <w:p w14:paraId="55B267ED" w14:textId="29904753" w:rsidR="004F3C39" w:rsidRPr="008D5DF6" w:rsidRDefault="004F3C39" w:rsidP="00854DF2">
      <w:pPr>
        <w:spacing w:before="120" w:after="0"/>
        <w:jc w:val="both"/>
        <w:rPr>
          <w:rFonts w:ascii="Titillium" w:hAnsi="Titillium"/>
          <w:b/>
          <w:sz w:val="24"/>
          <w:szCs w:val="24"/>
        </w:rPr>
        <w:sectPr w:rsidR="004F3C39" w:rsidRPr="008D5DF6" w:rsidSect="00A9152D">
          <w:headerReference w:type="default" r:id="rId15"/>
          <w:pgSz w:w="11906" w:h="16838"/>
          <w:pgMar w:top="851" w:right="1417" w:bottom="993" w:left="1417" w:header="708" w:footer="708" w:gutter="0"/>
          <w:cols w:space="708"/>
          <w:docGrid w:linePitch="360"/>
        </w:sectPr>
      </w:pPr>
      <w:r w:rsidRPr="004F3C39">
        <w:rPr>
          <w:rFonts w:ascii="Titillium" w:hAnsi="Titillium"/>
          <w:b/>
          <w:sz w:val="24"/>
          <w:szCs w:val="24"/>
        </w:rPr>
        <w:t>További kérdéssel kapcsolatban forduljanak hozzánk bizalommal.</w:t>
      </w:r>
    </w:p>
    <w:p w14:paraId="145BFB65" w14:textId="2F56CE58" w:rsidR="006A3E7D" w:rsidRPr="008D5DF6" w:rsidRDefault="006A3E7D" w:rsidP="00E01ECF">
      <w:pPr>
        <w:tabs>
          <w:tab w:val="left" w:pos="4065"/>
        </w:tabs>
        <w:spacing w:after="0"/>
        <w:rPr>
          <w:rFonts w:ascii="Titillium" w:hAnsi="Titillium"/>
          <w:i/>
          <w:sz w:val="24"/>
          <w:szCs w:val="24"/>
        </w:rPr>
      </w:pPr>
      <w:r w:rsidRPr="008D5DF6">
        <w:rPr>
          <w:rFonts w:ascii="Titillium" w:hAnsi="Titillium"/>
          <w:i/>
          <w:sz w:val="24"/>
          <w:szCs w:val="24"/>
        </w:rPr>
        <w:t>Kiss Richárd</w:t>
      </w:r>
      <w:r w:rsidR="00544D28" w:rsidRPr="008D5DF6">
        <w:rPr>
          <w:rFonts w:ascii="Titillium" w:hAnsi="Titillium"/>
          <w:i/>
          <w:sz w:val="24"/>
          <w:szCs w:val="24"/>
        </w:rPr>
        <w:br/>
      </w:r>
      <w:r w:rsidRPr="008D5DF6">
        <w:rPr>
          <w:rFonts w:ascii="Titillium" w:hAnsi="Titillium"/>
          <w:sz w:val="24"/>
          <w:szCs w:val="24"/>
        </w:rPr>
        <w:t>kommunikációs munkatárs</w:t>
      </w:r>
    </w:p>
    <w:p w14:paraId="41D99901" w14:textId="0C6F2C7B" w:rsidR="006A3E7D" w:rsidRPr="008D5DF6" w:rsidRDefault="00934F79" w:rsidP="00E01ECF">
      <w:pPr>
        <w:tabs>
          <w:tab w:val="left" w:pos="4065"/>
        </w:tabs>
        <w:spacing w:after="0"/>
        <w:rPr>
          <w:rFonts w:ascii="Titillium" w:hAnsi="Titillium"/>
          <w:sz w:val="24"/>
          <w:szCs w:val="24"/>
        </w:rPr>
      </w:pPr>
      <w:hyperlink r:id="rId16" w:history="1">
        <w:r w:rsidR="00544D28" w:rsidRPr="008D5DF6">
          <w:rPr>
            <w:rStyle w:val="Hiperhivatkozs"/>
            <w:rFonts w:ascii="Titillium" w:hAnsi="Titillium"/>
            <w:sz w:val="24"/>
            <w:szCs w:val="24"/>
          </w:rPr>
          <w:t>press@deak17galeria.hu</w:t>
        </w:r>
      </w:hyperlink>
      <w:r w:rsidR="00544D28" w:rsidRPr="008D5DF6">
        <w:rPr>
          <w:rFonts w:ascii="Titillium" w:hAnsi="Titillium"/>
          <w:sz w:val="24"/>
          <w:szCs w:val="24"/>
        </w:rPr>
        <w:br/>
      </w:r>
      <w:r w:rsidR="006A3E7D" w:rsidRPr="008D5DF6">
        <w:rPr>
          <w:rFonts w:ascii="Titillium" w:hAnsi="Titillium"/>
          <w:sz w:val="24"/>
          <w:szCs w:val="24"/>
        </w:rPr>
        <w:t>+3612660482</w:t>
      </w:r>
    </w:p>
    <w:sectPr w:rsidR="006A3E7D" w:rsidRPr="008D5DF6" w:rsidSect="006A3E7D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4490610" w16cid:durableId="25EEC8EE"/>
  <w16cid:commentId w16cid:paraId="76E37090" w16cid:durableId="25EEC91F"/>
  <w16cid:commentId w16cid:paraId="291684A3" w16cid:durableId="25EEC9A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B16545" w14:textId="77777777" w:rsidR="00934F79" w:rsidRDefault="00934F79" w:rsidP="006A3E7D">
      <w:pPr>
        <w:spacing w:after="0" w:line="240" w:lineRule="auto"/>
      </w:pPr>
      <w:r>
        <w:separator/>
      </w:r>
    </w:p>
  </w:endnote>
  <w:endnote w:type="continuationSeparator" w:id="0">
    <w:p w14:paraId="285BD58B" w14:textId="77777777" w:rsidR="00934F79" w:rsidRDefault="00934F79" w:rsidP="006A3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tillium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7F159D" w14:textId="77777777" w:rsidR="00934F79" w:rsidRDefault="00934F79" w:rsidP="006A3E7D">
      <w:pPr>
        <w:spacing w:after="0" w:line="240" w:lineRule="auto"/>
      </w:pPr>
      <w:r>
        <w:separator/>
      </w:r>
    </w:p>
  </w:footnote>
  <w:footnote w:type="continuationSeparator" w:id="0">
    <w:p w14:paraId="6AA0FD16" w14:textId="77777777" w:rsidR="00934F79" w:rsidRDefault="00934F79" w:rsidP="006A3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EE7D11" w14:textId="77777777" w:rsidR="006A3E7D" w:rsidRDefault="006A3E7D" w:rsidP="006A3E7D">
    <w:pPr>
      <w:pStyle w:val="lfej"/>
      <w:tabs>
        <w:tab w:val="clear" w:pos="4536"/>
        <w:tab w:val="clear" w:pos="9072"/>
      </w:tabs>
      <w:jc w:val="both"/>
      <w:rPr>
        <w:rFonts w:ascii="Titillium" w:hAnsi="Titillium"/>
        <w:noProof/>
        <w:lang w:eastAsia="hu-HU"/>
      </w:rPr>
    </w:pPr>
    <w:r>
      <w:rPr>
        <w:rFonts w:ascii="Titillium" w:hAnsi="Titillium"/>
        <w:noProof/>
        <w:lang w:eastAsia="hu-HU"/>
      </w:rPr>
      <w:drawing>
        <wp:anchor distT="0" distB="0" distL="114300" distR="114300" simplePos="0" relativeHeight="251658240" behindDoc="1" locked="0" layoutInCell="1" allowOverlap="1" wp14:anchorId="599E7028" wp14:editId="2E41A5BE">
          <wp:simplePos x="0" y="0"/>
          <wp:positionH relativeFrom="column">
            <wp:posOffset>5072380</wp:posOffset>
          </wp:positionH>
          <wp:positionV relativeFrom="paragraph">
            <wp:posOffset>157480</wp:posOffset>
          </wp:positionV>
          <wp:extent cx="755650" cy="497205"/>
          <wp:effectExtent l="0" t="0" r="0" b="0"/>
          <wp:wrapTight wrapText="bothSides">
            <wp:wrapPolygon edited="0">
              <wp:start x="0" y="0"/>
              <wp:lineTo x="0" y="20690"/>
              <wp:lineTo x="9802" y="20690"/>
              <wp:lineTo x="10346" y="19034"/>
              <wp:lineTo x="14158" y="13241"/>
              <wp:lineTo x="20148" y="0"/>
              <wp:lineTo x="0" y="0"/>
            </wp:wrapPolygon>
          </wp:wrapTight>
          <wp:docPr id="15" name="Kép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17-logo-hu-975x1024.pn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-1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7302"/>
                  <a:stretch/>
                </pic:blipFill>
                <pic:spPr bwMode="auto">
                  <a:xfrm>
                    <a:off x="0" y="0"/>
                    <a:ext cx="755650" cy="4972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40A369" w14:textId="77777777" w:rsidR="006A3E7D" w:rsidRPr="006A3E7D" w:rsidRDefault="006A3E7D" w:rsidP="006A3E7D">
    <w:pPr>
      <w:pStyle w:val="lfej"/>
      <w:tabs>
        <w:tab w:val="clear" w:pos="4536"/>
        <w:tab w:val="clear" w:pos="9072"/>
      </w:tabs>
      <w:jc w:val="both"/>
      <w:rPr>
        <w:rFonts w:ascii="Titillium" w:hAnsi="Titillium"/>
      </w:rPr>
    </w:pPr>
    <w:r w:rsidRPr="006A3E7D">
      <w:rPr>
        <w:rFonts w:ascii="Titillium" w:hAnsi="Titillium"/>
      </w:rPr>
      <w:t>Közlés időzítése: azonnali közlésre</w:t>
    </w:r>
  </w:p>
  <w:p w14:paraId="52C9A964" w14:textId="7B16B930" w:rsidR="006A3E7D" w:rsidRPr="006A3E7D" w:rsidRDefault="006A3E7D" w:rsidP="006A3E7D">
    <w:pPr>
      <w:pStyle w:val="lfej"/>
      <w:spacing w:after="240"/>
      <w:jc w:val="both"/>
      <w:rPr>
        <w:rFonts w:ascii="Titillium" w:eastAsia="SimSun" w:hAnsi="Titillium" w:cs="Times New Roman"/>
        <w:noProof/>
        <w:kern w:val="3"/>
        <w:szCs w:val="28"/>
        <w:lang w:eastAsia="hu-HU"/>
      </w:rPr>
    </w:pPr>
    <w:r w:rsidRPr="006A3E7D">
      <w:rPr>
        <w:rFonts w:ascii="Titillium" w:eastAsia="SimSun" w:hAnsi="Titillium" w:cs="Times New Roman"/>
        <w:noProof/>
        <w:kern w:val="3"/>
        <w:szCs w:val="28"/>
        <w:lang w:eastAsia="hu-HU"/>
      </w:rPr>
      <w:t xml:space="preserve">Kiadás keltezése: Budapest, 2022. </w:t>
    </w:r>
    <w:r w:rsidR="00160A0C">
      <w:rPr>
        <w:rFonts w:ascii="Titillium" w:eastAsia="SimSun" w:hAnsi="Titillium" w:cs="Times New Roman"/>
        <w:noProof/>
        <w:kern w:val="3"/>
        <w:szCs w:val="28"/>
        <w:lang w:eastAsia="hu-HU"/>
      </w:rPr>
      <w:t>júli</w:t>
    </w:r>
    <w:r w:rsidR="0001245D">
      <w:rPr>
        <w:rFonts w:ascii="Titillium" w:eastAsia="SimSun" w:hAnsi="Titillium" w:cs="Times New Roman"/>
        <w:noProof/>
        <w:kern w:val="3"/>
        <w:szCs w:val="28"/>
        <w:lang w:eastAsia="hu-HU"/>
      </w:rPr>
      <w:t xml:space="preserve">us </w:t>
    </w:r>
    <w:r w:rsidR="007E2BC8">
      <w:rPr>
        <w:rFonts w:ascii="Titillium" w:eastAsia="SimSun" w:hAnsi="Titillium" w:cs="Times New Roman"/>
        <w:noProof/>
        <w:kern w:val="3"/>
        <w:szCs w:val="28"/>
        <w:lang w:eastAsia="hu-HU"/>
      </w:rPr>
      <w:t>25</w:t>
    </w:r>
    <w:r w:rsidR="0001245D">
      <w:rPr>
        <w:rFonts w:ascii="Titillium" w:eastAsia="SimSun" w:hAnsi="Titillium" w:cs="Times New Roman"/>
        <w:noProof/>
        <w:kern w:val="3"/>
        <w:szCs w:val="28"/>
        <w:lang w:eastAsia="hu-HU"/>
      </w:rPr>
      <w:t>.</w:t>
    </w:r>
  </w:p>
  <w:p w14:paraId="1D744EA7" w14:textId="77777777" w:rsidR="006A3E7D" w:rsidRDefault="006A3E7D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7D"/>
    <w:rsid w:val="00007F37"/>
    <w:rsid w:val="0001245D"/>
    <w:rsid w:val="00021F9B"/>
    <w:rsid w:val="00067C05"/>
    <w:rsid w:val="00081A1A"/>
    <w:rsid w:val="000A4968"/>
    <w:rsid w:val="000D09AA"/>
    <w:rsid w:val="000D2927"/>
    <w:rsid w:val="000D6A3D"/>
    <w:rsid w:val="000E1A8E"/>
    <w:rsid w:val="0010071E"/>
    <w:rsid w:val="0012406C"/>
    <w:rsid w:val="00126FC8"/>
    <w:rsid w:val="00160A0C"/>
    <w:rsid w:val="00162984"/>
    <w:rsid w:val="00170EC2"/>
    <w:rsid w:val="001930D4"/>
    <w:rsid w:val="00194DAA"/>
    <w:rsid w:val="001957AF"/>
    <w:rsid w:val="001D264A"/>
    <w:rsid w:val="001D73A2"/>
    <w:rsid w:val="00203FFD"/>
    <w:rsid w:val="00242C21"/>
    <w:rsid w:val="00270110"/>
    <w:rsid w:val="00290DA7"/>
    <w:rsid w:val="002E1184"/>
    <w:rsid w:val="00300A38"/>
    <w:rsid w:val="00311D3A"/>
    <w:rsid w:val="003161C3"/>
    <w:rsid w:val="00346582"/>
    <w:rsid w:val="00393826"/>
    <w:rsid w:val="003A505D"/>
    <w:rsid w:val="003C102F"/>
    <w:rsid w:val="003C6E2A"/>
    <w:rsid w:val="00435027"/>
    <w:rsid w:val="00456C71"/>
    <w:rsid w:val="0047102F"/>
    <w:rsid w:val="00487403"/>
    <w:rsid w:val="004951CE"/>
    <w:rsid w:val="004E6057"/>
    <w:rsid w:val="004F0DE1"/>
    <w:rsid w:val="004F3C39"/>
    <w:rsid w:val="004F459E"/>
    <w:rsid w:val="004F7CBD"/>
    <w:rsid w:val="00512D5E"/>
    <w:rsid w:val="00544D28"/>
    <w:rsid w:val="00545A2A"/>
    <w:rsid w:val="005470A5"/>
    <w:rsid w:val="00573023"/>
    <w:rsid w:val="005871B2"/>
    <w:rsid w:val="00590FCC"/>
    <w:rsid w:val="0059756A"/>
    <w:rsid w:val="005C2446"/>
    <w:rsid w:val="005C609B"/>
    <w:rsid w:val="005E0DD1"/>
    <w:rsid w:val="006265AE"/>
    <w:rsid w:val="0064205C"/>
    <w:rsid w:val="00647046"/>
    <w:rsid w:val="006A3E7D"/>
    <w:rsid w:val="006B74F4"/>
    <w:rsid w:val="006C134C"/>
    <w:rsid w:val="006D7E9D"/>
    <w:rsid w:val="006E0AF8"/>
    <w:rsid w:val="006E2262"/>
    <w:rsid w:val="006E49AE"/>
    <w:rsid w:val="006F2449"/>
    <w:rsid w:val="006F2C49"/>
    <w:rsid w:val="006F3611"/>
    <w:rsid w:val="00701749"/>
    <w:rsid w:val="0077274B"/>
    <w:rsid w:val="00773EB2"/>
    <w:rsid w:val="0078042D"/>
    <w:rsid w:val="007D0E03"/>
    <w:rsid w:val="007E2BC8"/>
    <w:rsid w:val="00823986"/>
    <w:rsid w:val="00824104"/>
    <w:rsid w:val="00854DF2"/>
    <w:rsid w:val="00895DC1"/>
    <w:rsid w:val="008A53AB"/>
    <w:rsid w:val="008C0820"/>
    <w:rsid w:val="008D5DF6"/>
    <w:rsid w:val="008D6C1A"/>
    <w:rsid w:val="008E31E6"/>
    <w:rsid w:val="008E395F"/>
    <w:rsid w:val="008F4ECB"/>
    <w:rsid w:val="009134FE"/>
    <w:rsid w:val="00914223"/>
    <w:rsid w:val="00934F79"/>
    <w:rsid w:val="009616A4"/>
    <w:rsid w:val="0097247D"/>
    <w:rsid w:val="009B4E45"/>
    <w:rsid w:val="009D4DB3"/>
    <w:rsid w:val="009F5927"/>
    <w:rsid w:val="00A12C33"/>
    <w:rsid w:val="00A421DA"/>
    <w:rsid w:val="00A43686"/>
    <w:rsid w:val="00A5412B"/>
    <w:rsid w:val="00A66051"/>
    <w:rsid w:val="00A83AE4"/>
    <w:rsid w:val="00A85ABF"/>
    <w:rsid w:val="00A9152D"/>
    <w:rsid w:val="00A94A88"/>
    <w:rsid w:val="00AB4411"/>
    <w:rsid w:val="00AC39B8"/>
    <w:rsid w:val="00AE1450"/>
    <w:rsid w:val="00AF4278"/>
    <w:rsid w:val="00AF787B"/>
    <w:rsid w:val="00B06828"/>
    <w:rsid w:val="00B3102B"/>
    <w:rsid w:val="00B95BAA"/>
    <w:rsid w:val="00BB5F27"/>
    <w:rsid w:val="00BC2A42"/>
    <w:rsid w:val="00C01EEA"/>
    <w:rsid w:val="00C050D6"/>
    <w:rsid w:val="00C45C6C"/>
    <w:rsid w:val="00C67BD4"/>
    <w:rsid w:val="00C971ED"/>
    <w:rsid w:val="00CE1942"/>
    <w:rsid w:val="00D775DB"/>
    <w:rsid w:val="00DC0D41"/>
    <w:rsid w:val="00DF4361"/>
    <w:rsid w:val="00E01ECF"/>
    <w:rsid w:val="00E12B72"/>
    <w:rsid w:val="00E15C63"/>
    <w:rsid w:val="00E23860"/>
    <w:rsid w:val="00E42D97"/>
    <w:rsid w:val="00E724E5"/>
    <w:rsid w:val="00E92CF5"/>
    <w:rsid w:val="00EB2BEE"/>
    <w:rsid w:val="00EE4094"/>
    <w:rsid w:val="00EE43EC"/>
    <w:rsid w:val="00F56AB4"/>
    <w:rsid w:val="00F740D7"/>
    <w:rsid w:val="00FA4027"/>
    <w:rsid w:val="00FA4F4B"/>
    <w:rsid w:val="00FE16BD"/>
    <w:rsid w:val="00FF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26ECF0"/>
  <w15:chartTrackingRefBased/>
  <w15:docId w15:val="{BD6134A5-B2CD-44B9-AE85-979D20D5F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6A3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A3E7D"/>
  </w:style>
  <w:style w:type="paragraph" w:styleId="llb">
    <w:name w:val="footer"/>
    <w:basedOn w:val="Norml"/>
    <w:link w:val="llbChar"/>
    <w:uiPriority w:val="99"/>
    <w:unhideWhenUsed/>
    <w:rsid w:val="006A3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A3E7D"/>
  </w:style>
  <w:style w:type="character" w:styleId="Hiperhivatkozs">
    <w:name w:val="Hyperlink"/>
    <w:basedOn w:val="Bekezdsalapbettpusa"/>
    <w:uiPriority w:val="99"/>
    <w:unhideWhenUsed/>
    <w:rsid w:val="00A85ABF"/>
    <w:rPr>
      <w:color w:val="0563C1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AB4411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AB4411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B4411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B4411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B441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B4411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B4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B44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mailto:press@deak17galeria.h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19" Type="http://schemas.microsoft.com/office/2016/09/relationships/commentsIds" Target="commentsIds.xml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hyperlink" Target="https://www.deak17galeria.hu/kiallitasok/mintazatok/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606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PRESS</dc:creator>
  <cp:keywords/>
  <dc:description/>
  <cp:lastModifiedBy>PRESS</cp:lastModifiedBy>
  <cp:revision>7</cp:revision>
  <dcterms:created xsi:type="dcterms:W3CDTF">2022-07-20T07:58:00Z</dcterms:created>
  <dcterms:modified xsi:type="dcterms:W3CDTF">2022-07-21T07:42:00Z</dcterms:modified>
</cp:coreProperties>
</file>