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1AA" w:rsidRPr="008228F2" w:rsidRDefault="00AC61AA" w:rsidP="007F1FF7">
      <w:pPr>
        <w:spacing w:after="0" w:line="240" w:lineRule="auto"/>
        <w:jc w:val="center"/>
        <w:rPr>
          <w:rFonts w:ascii="Titillium" w:hAnsi="Titillium"/>
          <w:b/>
          <w:sz w:val="28"/>
          <w:szCs w:val="28"/>
        </w:rPr>
      </w:pPr>
      <w:r w:rsidRPr="008228F2">
        <w:rPr>
          <w:rFonts w:ascii="Titillium" w:hAnsi="Titillium"/>
          <w:b/>
          <w:sz w:val="28"/>
          <w:szCs w:val="28"/>
        </w:rPr>
        <w:t>Grimm-mesék, fénytanórák és veszélyeztetett állatok utolsó szavai</w:t>
      </w:r>
    </w:p>
    <w:p w:rsidR="008228F2" w:rsidRPr="003335F4" w:rsidRDefault="00AC61AA" w:rsidP="003335F4">
      <w:pPr>
        <w:spacing w:after="0" w:line="240" w:lineRule="auto"/>
        <w:jc w:val="center"/>
        <w:rPr>
          <w:rFonts w:ascii="Titillium" w:hAnsi="Titillium"/>
          <w:u w:val="single"/>
        </w:rPr>
      </w:pPr>
      <w:r w:rsidRPr="008228F2">
        <w:rPr>
          <w:rFonts w:ascii="Titillium" w:hAnsi="Titillium"/>
          <w:u w:val="single"/>
        </w:rPr>
        <w:t>Helyszíni és online programok októberben a Deák17 Galériában</w:t>
      </w:r>
    </w:p>
    <w:p w:rsidR="004224C3" w:rsidRDefault="00AC61AA" w:rsidP="004224C3">
      <w:pPr>
        <w:spacing w:line="240" w:lineRule="auto"/>
        <w:jc w:val="both"/>
        <w:rPr>
          <w:rFonts w:ascii="Titillium" w:hAnsi="Titillium"/>
          <w:b/>
          <w:i/>
          <w:sz w:val="24"/>
          <w:szCs w:val="24"/>
        </w:rPr>
      </w:pPr>
      <w:r w:rsidRPr="00AC61AA">
        <w:rPr>
          <w:rFonts w:ascii="Titillium" w:hAnsi="Titillium"/>
          <w:b/>
          <w:i/>
          <w:sz w:val="24"/>
          <w:szCs w:val="24"/>
        </w:rPr>
        <w:t xml:space="preserve">A Deák17 Galéria időszaki kiállítások mellet - a kialakult vírushelyzetre való tekintettel - még több otthonról élvezhető online programmal, letölthető digitális tartalommal készül az egyre hűvösebb októberi napokra. </w:t>
      </w:r>
    </w:p>
    <w:p w:rsidR="003335F4" w:rsidRPr="003335F4" w:rsidRDefault="00AC61AA" w:rsidP="004224C3">
      <w:pPr>
        <w:spacing w:line="240" w:lineRule="auto"/>
        <w:jc w:val="both"/>
        <w:rPr>
          <w:rFonts w:ascii="Titillium" w:hAnsi="Titillium"/>
          <w:color w:val="000000" w:themeColor="text1"/>
          <w:sz w:val="20"/>
          <w:szCs w:val="20"/>
        </w:rPr>
      </w:pPr>
      <w:r w:rsidRPr="007619CF">
        <w:rPr>
          <w:rFonts w:ascii="Titillium" w:hAnsi="Titillium"/>
          <w:noProof/>
          <w:lang w:eastAsia="hu-H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586865" cy="1314450"/>
            <wp:effectExtent l="0" t="0" r="0" b="0"/>
            <wp:wrapTight wrapText="bothSides">
              <wp:wrapPolygon edited="0">
                <wp:start x="0" y="0"/>
                <wp:lineTo x="0" y="21287"/>
                <wp:lineTo x="21263" y="21287"/>
                <wp:lineTo x="21263" y="0"/>
                <wp:lineTo x="0" y="0"/>
              </wp:wrapPolygon>
            </wp:wrapTight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imm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686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619CF">
        <w:rPr>
          <w:rFonts w:ascii="Titillium" w:hAnsi="Titillium"/>
        </w:rPr>
        <w:t xml:space="preserve">Az október 22-ig látogatható </w:t>
      </w:r>
      <w:r w:rsidRPr="007619CF">
        <w:rPr>
          <w:rFonts w:ascii="Titillium" w:hAnsi="Titillium"/>
          <w:b/>
          <w:i/>
        </w:rPr>
        <w:t>ÉLT EGYSZER EGY…</w:t>
      </w:r>
      <w:r w:rsidRPr="007619CF">
        <w:rPr>
          <w:rFonts w:ascii="Titillium" w:hAnsi="Titillium"/>
          <w:i/>
        </w:rPr>
        <w:t xml:space="preserve"> című </w:t>
      </w:r>
      <w:r w:rsidRPr="007619CF">
        <w:rPr>
          <w:rFonts w:ascii="Titillium" w:hAnsi="Titillium"/>
        </w:rPr>
        <w:t xml:space="preserve">tárlathoz két online kísérőprogram is megrendezésre kerül a hónapban. </w:t>
      </w:r>
      <w:r w:rsidRPr="007619CF">
        <w:rPr>
          <w:rFonts w:ascii="Titillium" w:hAnsi="Titillium"/>
          <w:b/>
        </w:rPr>
        <w:t>Október 7-én Meg</w:t>
      </w:r>
      <w:r w:rsidR="003335F4" w:rsidRPr="007619CF">
        <w:rPr>
          <w:rFonts w:ascii="Titillium" w:hAnsi="Titillium"/>
          <w:b/>
        </w:rPr>
        <w:t>gyesházi Éda ad online cimbalom</w:t>
      </w:r>
      <w:r w:rsidRPr="007619CF">
        <w:rPr>
          <w:rFonts w:ascii="Titillium" w:hAnsi="Titillium"/>
          <w:b/>
        </w:rPr>
        <w:t>koncertet</w:t>
      </w:r>
      <w:r w:rsidRPr="007619CF">
        <w:rPr>
          <w:rFonts w:ascii="Titillium" w:hAnsi="Titillium"/>
        </w:rPr>
        <w:t xml:space="preserve">, </w:t>
      </w:r>
      <w:r w:rsidRPr="007619CF">
        <w:rPr>
          <w:rFonts w:ascii="Titillium" w:hAnsi="Titillium"/>
          <w:b/>
        </w:rPr>
        <w:t>október 14-én</w:t>
      </w:r>
      <w:r w:rsidRPr="007619CF">
        <w:rPr>
          <w:rFonts w:ascii="Titillium" w:hAnsi="Titillium"/>
        </w:rPr>
        <w:t xml:space="preserve"> </w:t>
      </w:r>
      <w:r w:rsidRPr="007619CF">
        <w:rPr>
          <w:rFonts w:ascii="Titillium" w:hAnsi="Titillium"/>
          <w:b/>
        </w:rPr>
        <w:t>papírszínházi előadással összekötött meseolvasást</w:t>
      </w:r>
      <w:r w:rsidRPr="007619CF">
        <w:rPr>
          <w:rFonts w:ascii="Titillium" w:hAnsi="Titillium"/>
        </w:rPr>
        <w:t xml:space="preserve"> közvetít a Galéria. Mindkét eseményt a Deák17 Galéria Facebook-oldalán élőben követhetik az érdeklődők. A kiáll</w:t>
      </w:r>
      <w:r w:rsidR="003335F4" w:rsidRPr="007619CF">
        <w:rPr>
          <w:rFonts w:ascii="Titillium" w:hAnsi="Titillium"/>
        </w:rPr>
        <w:t xml:space="preserve">ításhoz 7-10 éveseknek játékos, </w:t>
      </w:r>
      <w:r w:rsidR="004224C3" w:rsidRPr="007619CF">
        <w:rPr>
          <w:rFonts w:ascii="Titillium" w:hAnsi="Titillium"/>
        </w:rPr>
        <w:t xml:space="preserve">a </w:t>
      </w:r>
      <w:r w:rsidRPr="007619CF">
        <w:rPr>
          <w:rFonts w:ascii="Titillium" w:hAnsi="Titillium"/>
        </w:rPr>
        <w:t>honla</w:t>
      </w:r>
      <w:r w:rsidR="004224C3" w:rsidRPr="007619CF">
        <w:rPr>
          <w:rFonts w:ascii="Titillium" w:hAnsi="Titillium"/>
        </w:rPr>
        <w:t>p</w:t>
      </w:r>
      <w:r w:rsidRPr="007619CF">
        <w:rPr>
          <w:rFonts w:ascii="Titillium" w:hAnsi="Titillium"/>
        </w:rPr>
        <w:t xml:space="preserve">ról letölthető </w:t>
      </w:r>
      <w:r w:rsidRPr="007619CF">
        <w:rPr>
          <w:rFonts w:ascii="Titillium" w:hAnsi="Titillium"/>
          <w:b/>
        </w:rPr>
        <w:t>otthoni foglalkozást</w:t>
      </w:r>
      <w:r w:rsidRPr="007619CF">
        <w:rPr>
          <w:rFonts w:ascii="Titillium" w:hAnsi="Titillium"/>
        </w:rPr>
        <w:t xml:space="preserve"> is </w:t>
      </w:r>
      <w:r w:rsidR="004224C3" w:rsidRPr="007619CF">
        <w:rPr>
          <w:rFonts w:ascii="Titillium" w:hAnsi="Titillium"/>
        </w:rPr>
        <w:t>kitalált</w:t>
      </w:r>
      <w:r w:rsidR="007619CF" w:rsidRPr="007619CF">
        <w:rPr>
          <w:rFonts w:ascii="Titillium" w:hAnsi="Titillium"/>
        </w:rPr>
        <w:t xml:space="preserve"> a</w:t>
      </w:r>
      <w:r w:rsidR="004224C3" w:rsidRPr="007619CF">
        <w:rPr>
          <w:rFonts w:ascii="Titillium" w:hAnsi="Titillium"/>
        </w:rPr>
        <w:t xml:space="preserve"> Galéria múzeumpedagógusa</w:t>
      </w:r>
      <w:r w:rsidRPr="007619CF">
        <w:rPr>
          <w:rFonts w:ascii="Titillium" w:hAnsi="Titillium"/>
        </w:rPr>
        <w:t xml:space="preserve">. A </w:t>
      </w:r>
      <w:r w:rsidRPr="007619CF">
        <w:rPr>
          <w:rFonts w:ascii="Titillium" w:hAnsi="Titillium"/>
          <w:b/>
        </w:rPr>
        <w:t>szülői vagy tanári segítséggel</w:t>
      </w:r>
      <w:r w:rsidR="003335F4" w:rsidRPr="007619CF">
        <w:rPr>
          <w:rFonts w:ascii="Titillium" w:hAnsi="Titillium"/>
        </w:rPr>
        <w:t xml:space="preserve"> végig</w:t>
      </w:r>
      <w:r w:rsidRPr="007619CF">
        <w:rPr>
          <w:rFonts w:ascii="Titillium" w:hAnsi="Titillium"/>
        </w:rPr>
        <w:t xml:space="preserve">követhető foglalkozás révén a gyerekek érdekes ismeretekre tehetnek szert például arról, hogy kik azok a Grimm-testvérek, melyek </w:t>
      </w:r>
      <w:r w:rsidRPr="007619CF">
        <w:rPr>
          <w:rFonts w:ascii="Titillium" w:hAnsi="Titillium"/>
          <w:b/>
        </w:rPr>
        <w:t>a legismertebb Grimm-mesék</w:t>
      </w:r>
      <w:r w:rsidRPr="007619CF">
        <w:rPr>
          <w:rFonts w:ascii="Titillium" w:hAnsi="Titillium"/>
        </w:rPr>
        <w:t>, mi az illusztráció, é</w:t>
      </w:r>
      <w:r w:rsidR="003335F4" w:rsidRPr="007619CF">
        <w:rPr>
          <w:rFonts w:ascii="Titillium" w:hAnsi="Titillium"/>
        </w:rPr>
        <w:t xml:space="preserve">s hogy hogyan készül a kollázs. </w:t>
      </w:r>
      <w:r w:rsidR="00461CE3" w:rsidRPr="007619CF">
        <w:rPr>
          <w:rFonts w:ascii="Titillium" w:hAnsi="Titillium"/>
          <w:color w:val="000000" w:themeColor="text1"/>
        </w:rPr>
        <w:t>Részletek</w:t>
      </w:r>
      <w:r w:rsidR="00461CE3" w:rsidRPr="003335F4">
        <w:rPr>
          <w:rFonts w:ascii="Titillium" w:hAnsi="Titillium"/>
          <w:color w:val="000000" w:themeColor="text1"/>
          <w:sz w:val="20"/>
          <w:szCs w:val="20"/>
        </w:rPr>
        <w:t xml:space="preserve">: </w:t>
      </w:r>
      <w:hyperlink r:id="rId6" w:history="1">
        <w:r w:rsidR="003335F4" w:rsidRPr="0007057E">
          <w:rPr>
            <w:rStyle w:val="Hiperhivatkozs"/>
            <w:rFonts w:ascii="Titillium" w:hAnsi="Titillium"/>
            <w:sz w:val="20"/>
            <w:szCs w:val="20"/>
          </w:rPr>
          <w:t>http://www.deak17galeria.hu/kiallitasok/elt-</w:t>
        </w:r>
        <w:r w:rsidR="003335F4" w:rsidRPr="0007057E">
          <w:rPr>
            <w:rStyle w:val="Hiperhivatkozs"/>
            <w:rFonts w:ascii="Titillium" w:hAnsi="Titillium"/>
            <w:sz w:val="20"/>
            <w:szCs w:val="20"/>
          </w:rPr>
          <w:t>e</w:t>
        </w:r>
        <w:r w:rsidR="003335F4" w:rsidRPr="0007057E">
          <w:rPr>
            <w:rStyle w:val="Hiperhivatkozs"/>
            <w:rFonts w:ascii="Titillium" w:hAnsi="Titillium"/>
            <w:sz w:val="20"/>
            <w:szCs w:val="20"/>
          </w:rPr>
          <w:t>gyszer-egy</w:t>
        </w:r>
      </w:hyperlink>
    </w:p>
    <w:p w:rsidR="007F1FF7" w:rsidRPr="007619CF" w:rsidRDefault="00AC61AA" w:rsidP="007F1FF7">
      <w:pPr>
        <w:spacing w:after="0"/>
        <w:jc w:val="both"/>
        <w:rPr>
          <w:rFonts w:ascii="Titillium" w:hAnsi="Titillium"/>
          <w:color w:val="000000"/>
        </w:rPr>
      </w:pPr>
      <w:r w:rsidRPr="007619CF">
        <w:rPr>
          <w:rFonts w:ascii="Titillium" w:eastAsia="Times New Roman" w:hAnsi="Titillium" w:cs="Arial"/>
          <w:b/>
          <w:noProof/>
          <w:color w:val="222222"/>
          <w:lang w:eastAsia="hu-HU"/>
        </w:rPr>
        <w:drawing>
          <wp:anchor distT="0" distB="0" distL="114300" distR="114300" simplePos="0" relativeHeight="251662336" behindDoc="1" locked="0" layoutInCell="1" allowOverlap="1" wp14:anchorId="4E4D3467" wp14:editId="02E03E92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657350" cy="1641475"/>
            <wp:effectExtent l="0" t="0" r="0" b="0"/>
            <wp:wrapTight wrapText="bothSides">
              <wp:wrapPolygon edited="0">
                <wp:start x="0" y="0"/>
                <wp:lineTo x="0" y="21308"/>
                <wp:lineTo x="21352" y="21308"/>
                <wp:lineTo x="21352" y="0"/>
                <wp:lineTo x="0" y="0"/>
              </wp:wrapPolygon>
            </wp:wrapTight>
            <wp:docPr id="2" name="Kép 2" descr="C:\Users\PRESS\AppData\Local\Microsoft\Windows\INetCache\Content.Word\videosorozat_Fakultativ_fenytanorak_lep_Szigeti_Gabor_Csong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ESS\AppData\Local\Microsoft\Windows\INetCache\Content.Word\videosorozat_Fakultativ_fenytanorak_lep_Szigeti_Gabor_Csongo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48" r="14963"/>
                    <a:stretch/>
                  </pic:blipFill>
                  <pic:spPr bwMode="auto">
                    <a:xfrm>
                      <a:off x="0" y="0"/>
                      <a:ext cx="1657350" cy="16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19CF">
        <w:rPr>
          <w:rFonts w:ascii="Titillium" w:hAnsi="Titillium"/>
        </w:rPr>
        <w:t xml:space="preserve">Októberben tovább folytatódik a Galéria </w:t>
      </w:r>
      <w:r w:rsidRPr="007619CF">
        <w:rPr>
          <w:rFonts w:ascii="Titillium" w:hAnsi="Titillium"/>
          <w:b/>
        </w:rPr>
        <w:t>FAKULTATÍV FÉNYTANÓRÁK</w:t>
      </w:r>
      <w:r w:rsidRPr="007619CF">
        <w:rPr>
          <w:rFonts w:ascii="Titillium" w:hAnsi="Titillium"/>
        </w:rPr>
        <w:t xml:space="preserve"> című ismeretterjesztő videósorozata. A videók a </w:t>
      </w:r>
      <w:r w:rsidRPr="007619CF">
        <w:rPr>
          <w:rFonts w:ascii="Titillium" w:hAnsi="Titillium"/>
          <w:b/>
        </w:rPr>
        <w:t>természettudományok és a kortárs művészet közös</w:t>
      </w:r>
      <w:r w:rsidRPr="007619CF">
        <w:rPr>
          <w:rFonts w:ascii="Titillium" w:hAnsi="Titillium"/>
        </w:rPr>
        <w:t xml:space="preserve"> metszéspontját keresve nemcsak meglepő optikai tüneményeket, otthon is elvégezhető kísérle</w:t>
      </w:r>
      <w:bookmarkStart w:id="0" w:name="_GoBack"/>
      <w:bookmarkEnd w:id="0"/>
      <w:r w:rsidRPr="007619CF">
        <w:rPr>
          <w:rFonts w:ascii="Titillium" w:hAnsi="Titillium"/>
        </w:rPr>
        <w:t xml:space="preserve">teket és ezek tudományos hátterét mutatják be, hanem olyan kortárs képzőművészeket és alkotói csoportokat is, akik munkáiban fontos szerepet kapnak a fénytani jelenségek, mint például a </w:t>
      </w:r>
      <w:r w:rsidRPr="007619CF">
        <w:rPr>
          <w:rFonts w:ascii="Titillium" w:hAnsi="Titillium"/>
          <w:b/>
        </w:rPr>
        <w:t>tükröződés, a fénytörés vagy a moiré jelenség</w:t>
      </w:r>
      <w:r w:rsidRPr="007619CF">
        <w:rPr>
          <w:rFonts w:ascii="Titillium" w:hAnsi="Titillium"/>
        </w:rPr>
        <w:t>.</w:t>
      </w:r>
      <w:r w:rsidR="007F1FF7" w:rsidRPr="007619CF">
        <w:rPr>
          <w:rFonts w:ascii="Titillium" w:hAnsi="Titillium"/>
          <w:color w:val="000000"/>
        </w:rPr>
        <w:t xml:space="preserve"> </w:t>
      </w:r>
    </w:p>
    <w:p w:rsidR="007F1FF7" w:rsidRPr="007F1FF7" w:rsidRDefault="007F1FF7" w:rsidP="007F1FF7">
      <w:pPr>
        <w:spacing w:after="0"/>
        <w:rPr>
          <w:rFonts w:ascii="Titillium" w:hAnsi="Titillium"/>
          <w:color w:val="000000"/>
          <w:sz w:val="20"/>
          <w:szCs w:val="20"/>
        </w:rPr>
      </w:pPr>
      <w:r w:rsidRPr="007619CF">
        <w:rPr>
          <w:rFonts w:ascii="Titillium" w:hAnsi="Titillium"/>
          <w:color w:val="000000"/>
        </w:rPr>
        <w:t>Részletek:</w:t>
      </w:r>
      <w:r w:rsidR="004224C3">
        <w:rPr>
          <w:rFonts w:ascii="Titillium" w:hAnsi="Titillium"/>
          <w:color w:val="000000"/>
          <w:sz w:val="20"/>
          <w:szCs w:val="20"/>
        </w:rPr>
        <w:t xml:space="preserve"> </w:t>
      </w:r>
      <w:hyperlink r:id="rId8" w:history="1">
        <w:r w:rsidRPr="007F1FF7">
          <w:rPr>
            <w:rFonts w:ascii="Titillium" w:hAnsi="Titillium"/>
            <w:color w:val="0563C1" w:themeColor="hyperlink"/>
            <w:sz w:val="20"/>
            <w:szCs w:val="20"/>
            <w:u w:val="single"/>
          </w:rPr>
          <w:t>http://www.deak1</w:t>
        </w:r>
        <w:r w:rsidRPr="007F1FF7">
          <w:rPr>
            <w:rFonts w:ascii="Titillium" w:hAnsi="Titillium"/>
            <w:color w:val="0563C1" w:themeColor="hyperlink"/>
            <w:sz w:val="20"/>
            <w:szCs w:val="20"/>
            <w:u w:val="single"/>
          </w:rPr>
          <w:t>7</w:t>
        </w:r>
        <w:r w:rsidRPr="007F1FF7">
          <w:rPr>
            <w:rFonts w:ascii="Titillium" w:hAnsi="Titillium"/>
            <w:color w:val="0563C1" w:themeColor="hyperlink"/>
            <w:sz w:val="20"/>
            <w:szCs w:val="20"/>
            <w:u w:val="single"/>
          </w:rPr>
          <w:t>galeria.hu/programok/fakultativ-fenytanorak</w:t>
        </w:r>
      </w:hyperlink>
    </w:p>
    <w:p w:rsidR="007F1FF7" w:rsidRPr="007F1FF7" w:rsidRDefault="00AC61AA" w:rsidP="007F1FF7">
      <w:pPr>
        <w:suppressAutoHyphens/>
        <w:autoSpaceDN w:val="0"/>
        <w:spacing w:after="0" w:line="276" w:lineRule="auto"/>
        <w:jc w:val="both"/>
        <w:textAlignment w:val="baseline"/>
        <w:rPr>
          <w:rFonts w:ascii="Titillium" w:hAnsi="Titillium"/>
          <w:color w:val="000000"/>
          <w:sz w:val="20"/>
          <w:szCs w:val="20"/>
        </w:rPr>
      </w:pPr>
      <w:r w:rsidRPr="007619CF">
        <w:rPr>
          <w:rFonts w:ascii="Titillium" w:hAnsi="Titillium"/>
          <w:noProof/>
          <w:lang w:eastAsia="hu-H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96520</wp:posOffset>
            </wp:positionV>
            <wp:extent cx="1676400" cy="1607185"/>
            <wp:effectExtent l="0" t="0" r="0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st word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07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19CF">
        <w:rPr>
          <w:rFonts w:ascii="Titillium" w:hAnsi="Titillium"/>
        </w:rPr>
        <w:t xml:space="preserve">Ebben a hónapban indul az </w:t>
      </w:r>
      <w:r w:rsidRPr="007619CF">
        <w:rPr>
          <w:rFonts w:ascii="Titillium" w:hAnsi="Titillium"/>
          <w:b/>
        </w:rPr>
        <w:t>általános- és középiskolás diákokat</w:t>
      </w:r>
      <w:r w:rsidRPr="007619CF">
        <w:rPr>
          <w:rFonts w:ascii="Titillium" w:hAnsi="Titillium"/>
        </w:rPr>
        <w:t xml:space="preserve"> megcélzó </w:t>
      </w:r>
      <w:r w:rsidRPr="007619CF">
        <w:rPr>
          <w:rFonts w:ascii="Titillium" w:hAnsi="Titillium"/>
          <w:b/>
        </w:rPr>
        <w:t>LAST WORDS</w:t>
      </w:r>
      <w:r w:rsidRPr="007619CF">
        <w:rPr>
          <w:rFonts w:ascii="Titillium" w:hAnsi="Titillium"/>
        </w:rPr>
        <w:t xml:space="preserve"> című kreatív </w:t>
      </w:r>
      <w:r w:rsidRPr="007619CF">
        <w:rPr>
          <w:rFonts w:ascii="Titillium" w:hAnsi="Titillium"/>
          <w:b/>
        </w:rPr>
        <w:t xml:space="preserve">pályázat </w:t>
      </w:r>
      <w:r w:rsidRPr="007619CF">
        <w:rPr>
          <w:rFonts w:ascii="Titillium" w:hAnsi="Titillium"/>
        </w:rPr>
        <w:t xml:space="preserve">is. A </w:t>
      </w:r>
      <w:r w:rsidRPr="007619CF">
        <w:rPr>
          <w:rFonts w:ascii="Titillium" w:hAnsi="Titillium"/>
          <w:color w:val="000000"/>
        </w:rPr>
        <w:t xml:space="preserve">debreceni NDK– Neue Debreczenische Kunst – művészcsoport és a Deák17 Galéria közös pályázata az emberi tevékenyég környezetpusztító hatására, a biodiverzitás csökkenésére és a kihalás szélére sodort élőlények helyzetére kívánja felhívni figyelmet. Mi lesz a végső üzenetük az emberiség számára? Az erre a gondolatra reflektáló alkotásokat technikai megkötés nélkül, digitális formában küldhetik el a pályázók a Galériának. </w:t>
      </w:r>
      <w:r w:rsidRPr="007619CF">
        <w:rPr>
          <w:rFonts w:ascii="Titillium" w:hAnsi="Titillium"/>
          <w:b/>
          <w:color w:val="000000"/>
        </w:rPr>
        <w:t>Pályázati határidő:</w:t>
      </w:r>
      <w:r w:rsidRPr="007619CF">
        <w:rPr>
          <w:rFonts w:ascii="Titillium" w:hAnsi="Titillium"/>
          <w:color w:val="000000"/>
        </w:rPr>
        <w:t xml:space="preserve"> </w:t>
      </w:r>
      <w:r w:rsidRPr="007619CF">
        <w:rPr>
          <w:rFonts w:ascii="Titillium" w:hAnsi="Titillium"/>
          <w:b/>
          <w:color w:val="000000"/>
        </w:rPr>
        <w:t>2020. november 29.</w:t>
      </w:r>
      <w:r w:rsidR="003335F4" w:rsidRPr="007619CF">
        <w:rPr>
          <w:rFonts w:ascii="Titillium" w:hAnsi="Titillium"/>
          <w:color w:val="000000"/>
        </w:rPr>
        <w:t xml:space="preserve"> </w:t>
      </w:r>
      <w:r w:rsidR="007F1FF7" w:rsidRPr="007619CF">
        <w:rPr>
          <w:rFonts w:ascii="Titillium" w:hAnsi="Titillium"/>
          <w:color w:val="000000"/>
        </w:rPr>
        <w:t>Részletek:</w:t>
      </w:r>
      <w:r w:rsidR="007F1FF7">
        <w:rPr>
          <w:rFonts w:ascii="Titillium" w:hAnsi="Titillium"/>
          <w:color w:val="000000"/>
          <w:sz w:val="20"/>
          <w:szCs w:val="20"/>
        </w:rPr>
        <w:t xml:space="preserve"> </w:t>
      </w:r>
      <w:hyperlink r:id="rId10" w:history="1">
        <w:r w:rsidR="007F1FF7" w:rsidRPr="007F1FF7">
          <w:rPr>
            <w:rFonts w:ascii="Titillium" w:eastAsia="SimSun" w:hAnsi="Titillium" w:cs="Times New Roman"/>
            <w:color w:val="0563C1" w:themeColor="hyperlink"/>
            <w:kern w:val="3"/>
            <w:sz w:val="20"/>
            <w:szCs w:val="20"/>
            <w:u w:val="single"/>
          </w:rPr>
          <w:t>http://www.deak17</w:t>
        </w:r>
        <w:r w:rsidR="007F1FF7" w:rsidRPr="007F1FF7">
          <w:rPr>
            <w:rFonts w:ascii="Titillium" w:eastAsia="SimSun" w:hAnsi="Titillium" w:cs="Times New Roman"/>
            <w:color w:val="0563C1" w:themeColor="hyperlink"/>
            <w:kern w:val="3"/>
            <w:sz w:val="20"/>
            <w:szCs w:val="20"/>
            <w:u w:val="single"/>
          </w:rPr>
          <w:t>g</w:t>
        </w:r>
        <w:r w:rsidR="007F1FF7" w:rsidRPr="007F1FF7">
          <w:rPr>
            <w:rFonts w:ascii="Titillium" w:eastAsia="SimSun" w:hAnsi="Titillium" w:cs="Times New Roman"/>
            <w:color w:val="0563C1" w:themeColor="hyperlink"/>
            <w:kern w:val="3"/>
            <w:sz w:val="20"/>
            <w:szCs w:val="20"/>
            <w:u w:val="single"/>
          </w:rPr>
          <w:t>aleria.hu/palyazatok/last-words</w:t>
        </w:r>
      </w:hyperlink>
    </w:p>
    <w:p w:rsidR="004224C3" w:rsidRPr="007619CF" w:rsidRDefault="007F1FF7" w:rsidP="004224C3">
      <w:pPr>
        <w:suppressAutoHyphens/>
        <w:autoSpaceDN w:val="0"/>
        <w:spacing w:line="240" w:lineRule="auto"/>
        <w:jc w:val="center"/>
        <w:textAlignment w:val="baseline"/>
        <w:rPr>
          <w:rFonts w:ascii="Titillium" w:eastAsia="SimSun" w:hAnsi="Titillium" w:cs="Times New Roman"/>
          <w:b/>
          <w:kern w:val="3"/>
          <w:sz w:val="20"/>
          <w:szCs w:val="20"/>
        </w:rPr>
      </w:pPr>
      <w:r w:rsidRPr="007619CF">
        <w:rPr>
          <w:rFonts w:ascii="Titillium" w:eastAsia="SimSun" w:hAnsi="Titillium" w:cs="Times New Roman"/>
          <w:color w:val="FF0000"/>
          <w:kern w:val="3"/>
          <w:sz w:val="20"/>
          <w:szCs w:val="20"/>
        </w:rPr>
        <w:t>Október 23-án és 24-én, valamint október 31-én a Galéria zárva tart!</w:t>
      </w:r>
      <w:r w:rsidRPr="007619CF">
        <w:rPr>
          <w:rFonts w:ascii="Titillium" w:eastAsia="SimSun" w:hAnsi="Titillium" w:cs="Times New Roman"/>
          <w:b/>
          <w:color w:val="FF0000"/>
          <w:kern w:val="3"/>
          <w:sz w:val="20"/>
          <w:szCs w:val="20"/>
        </w:rPr>
        <w:br/>
      </w:r>
      <w:r w:rsidRPr="007619CF">
        <w:rPr>
          <w:rFonts w:ascii="Titillium" w:eastAsia="SimSun" w:hAnsi="Titillium" w:cs="Times New Roman"/>
          <w:b/>
          <w:kern w:val="3"/>
          <w:sz w:val="20"/>
          <w:szCs w:val="20"/>
        </w:rPr>
        <w:t>A kiállítások, múzeumpedagógiai foglalkozások és programok díjmentesen látogathatók.</w:t>
      </w:r>
    </w:p>
    <w:p w:rsidR="00AC61AA" w:rsidRPr="007619CF" w:rsidRDefault="00AC61AA" w:rsidP="007619CF">
      <w:pPr>
        <w:suppressAutoHyphens/>
        <w:autoSpaceDN w:val="0"/>
        <w:spacing w:line="240" w:lineRule="auto"/>
        <w:jc w:val="center"/>
        <w:textAlignment w:val="baseline"/>
        <w:rPr>
          <w:rFonts w:ascii="Titillium" w:eastAsia="SimSun" w:hAnsi="Titillium" w:cs="Times New Roman"/>
          <w:b/>
          <w:kern w:val="3"/>
          <w:sz w:val="20"/>
          <w:szCs w:val="20"/>
        </w:rPr>
      </w:pPr>
      <w:r w:rsidRPr="007619CF">
        <w:rPr>
          <w:rFonts w:ascii="Titillium" w:eastAsia="SimSun" w:hAnsi="Titillium" w:cs="Times New Roman"/>
          <w:b/>
          <w:kern w:val="3"/>
          <w:sz w:val="20"/>
          <w:szCs w:val="20"/>
        </w:rPr>
        <w:t>Cím:</w:t>
      </w:r>
      <w:r w:rsidRPr="007619CF">
        <w:rPr>
          <w:rFonts w:ascii="Titillium" w:eastAsia="SimSun" w:hAnsi="Titillium" w:cs="Times New Roman"/>
          <w:kern w:val="3"/>
          <w:sz w:val="20"/>
          <w:szCs w:val="20"/>
        </w:rPr>
        <w:t xml:space="preserve"> Deák17 Gyermek és Ifjúsági Művészeti Galéria - 1052 Deák Ferenc utca 17. I. emelet</w:t>
      </w:r>
      <w:r w:rsidRPr="007619CF">
        <w:rPr>
          <w:rFonts w:ascii="Titillium" w:eastAsia="SimSun" w:hAnsi="Titillium" w:cs="Times New Roman"/>
          <w:kern w:val="3"/>
          <w:sz w:val="20"/>
          <w:szCs w:val="20"/>
        </w:rPr>
        <w:br/>
      </w:r>
      <w:r w:rsidRPr="007619CF">
        <w:rPr>
          <w:rFonts w:ascii="Titillium" w:eastAsia="SimSun" w:hAnsi="Titillium" w:cs="Times New Roman"/>
          <w:b/>
          <w:kern w:val="3"/>
          <w:sz w:val="20"/>
          <w:szCs w:val="20"/>
        </w:rPr>
        <w:t xml:space="preserve">Nyitvatartás: </w:t>
      </w:r>
      <w:r w:rsidRPr="007619CF">
        <w:rPr>
          <w:rFonts w:ascii="Titillium" w:eastAsia="SimSun" w:hAnsi="Titillium" w:cs="Times New Roman"/>
          <w:kern w:val="3"/>
          <w:sz w:val="20"/>
          <w:szCs w:val="20"/>
        </w:rPr>
        <w:t>Kedd - péntek: 10:00 - 18:00 / Szombat: 09:00 - 13:00 /</w:t>
      </w:r>
    </w:p>
    <w:tbl>
      <w:tblPr>
        <w:tblStyle w:val="Rcsostblzat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969"/>
      </w:tblGrid>
      <w:tr w:rsidR="00AC61AA" w:rsidRPr="007F1FF7" w:rsidTr="008228F2">
        <w:trPr>
          <w:trHeight w:val="182"/>
          <w:jc w:val="center"/>
        </w:trPr>
        <w:tc>
          <w:tcPr>
            <w:tcW w:w="4678" w:type="dxa"/>
          </w:tcPr>
          <w:p w:rsidR="00AC61AA" w:rsidRPr="007F1FF7" w:rsidRDefault="00AC61AA" w:rsidP="007F1FF7">
            <w:pPr>
              <w:suppressAutoHyphens/>
              <w:autoSpaceDN w:val="0"/>
              <w:jc w:val="both"/>
              <w:textAlignment w:val="baseline"/>
              <w:rPr>
                <w:rFonts w:ascii="Titillium" w:eastAsia="SimSun" w:hAnsi="Titillium" w:cs="Times New Roman"/>
                <w:b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b/>
                <w:kern w:val="3"/>
                <w:sz w:val="20"/>
                <w:szCs w:val="20"/>
                <w:shd w:val="clear" w:color="auto" w:fill="FFFFFF"/>
              </w:rPr>
              <w:t>Kaposi Dorka</w:t>
            </w:r>
          </w:p>
          <w:p w:rsidR="00AC61AA" w:rsidRPr="007F1FF7" w:rsidRDefault="00AC61AA" w:rsidP="007F1FF7">
            <w:pPr>
              <w:suppressAutoHyphens/>
              <w:autoSpaceDN w:val="0"/>
              <w:jc w:val="both"/>
              <w:textAlignment w:val="baseline"/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galériavezető</w:t>
            </w:r>
          </w:p>
          <w:p w:rsidR="00AC61AA" w:rsidRPr="007F1FF7" w:rsidRDefault="00AC61AA" w:rsidP="007F1FF7">
            <w:pPr>
              <w:suppressAutoHyphens/>
              <w:autoSpaceDN w:val="0"/>
              <w:jc w:val="both"/>
              <w:textAlignment w:val="baseline"/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Telefon: +36 1</w:t>
            </w:r>
            <w:r w:rsidRPr="007F1FF7">
              <w:rPr>
                <w:rFonts w:ascii="Titillium" w:eastAsia="SimSun" w:hAnsi="Titillium" w:cs="Calibri"/>
                <w:kern w:val="3"/>
                <w:sz w:val="20"/>
                <w:szCs w:val="20"/>
                <w:shd w:val="clear" w:color="auto" w:fill="FFFFFF"/>
              </w:rPr>
              <w:t xml:space="preserve"> </w:t>
            </w: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266 0482</w:t>
            </w:r>
          </w:p>
          <w:p w:rsidR="00AC61AA" w:rsidRPr="007F1FF7" w:rsidRDefault="00AC61AA" w:rsidP="007F1FF7">
            <w:pPr>
              <w:suppressAutoHyphens/>
              <w:autoSpaceDN w:val="0"/>
              <w:jc w:val="both"/>
              <w:textAlignment w:val="baseline"/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E-</w:t>
            </w:r>
            <w:r w:rsidRPr="007F1FF7">
              <w:rPr>
                <w:rFonts w:ascii="Titillium" w:eastAsia="SimSun" w:hAnsi="Titillium" w:cs="Times New Roman"/>
                <w:color w:val="000000"/>
                <w:kern w:val="3"/>
                <w:sz w:val="20"/>
                <w:szCs w:val="20"/>
                <w:shd w:val="clear" w:color="auto" w:fill="FFFFFF"/>
              </w:rPr>
              <w:t xml:space="preserve">mail: </w:t>
            </w:r>
            <w:hyperlink r:id="rId11" w:history="1">
              <w:r w:rsidRPr="007F1FF7">
                <w:rPr>
                  <w:rFonts w:ascii="Titillium" w:eastAsia="SimSun" w:hAnsi="Titillium" w:cs="Times New Roman"/>
                  <w:color w:val="000000"/>
                  <w:kern w:val="3"/>
                  <w:sz w:val="20"/>
                  <w:szCs w:val="20"/>
                  <w:shd w:val="clear" w:color="auto" w:fill="FFFFFF"/>
                </w:rPr>
                <w:t>dorka.kaposi@gmail.com</w:t>
              </w:r>
            </w:hyperlink>
            <w:r w:rsidRPr="007F1FF7">
              <w:rPr>
                <w:rFonts w:ascii="Titillium" w:eastAsia="SimSun" w:hAnsi="Titillium" w:cs="Times New Roman"/>
                <w:color w:val="000000"/>
                <w:kern w:val="3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969" w:type="dxa"/>
          </w:tcPr>
          <w:p w:rsidR="00AC61AA" w:rsidRPr="007F1FF7" w:rsidRDefault="00AC61AA" w:rsidP="007F1FF7">
            <w:pPr>
              <w:suppressAutoHyphens/>
              <w:autoSpaceDN w:val="0"/>
              <w:ind w:left="708"/>
              <w:jc w:val="both"/>
              <w:textAlignment w:val="baseline"/>
              <w:rPr>
                <w:rFonts w:ascii="Titillium" w:eastAsia="SimSun" w:hAnsi="Titillium" w:cs="Times New Roman"/>
                <w:b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noProof/>
                <w:kern w:val="3"/>
                <w:sz w:val="20"/>
                <w:szCs w:val="20"/>
                <w:lang w:eastAsia="hu-HU"/>
              </w:rPr>
              <w:drawing>
                <wp:anchor distT="0" distB="0" distL="114300" distR="114300" simplePos="0" relativeHeight="251665408" behindDoc="1" locked="0" layoutInCell="1" allowOverlap="1" wp14:anchorId="2594E830" wp14:editId="5C9C444A">
                  <wp:simplePos x="0" y="0"/>
                  <wp:positionH relativeFrom="column">
                    <wp:posOffset>-720725</wp:posOffset>
                  </wp:positionH>
                  <wp:positionV relativeFrom="paragraph">
                    <wp:posOffset>8255</wp:posOffset>
                  </wp:positionV>
                  <wp:extent cx="854075" cy="758468"/>
                  <wp:effectExtent l="0" t="0" r="3175" b="3810"/>
                  <wp:wrapNone/>
                  <wp:docPr id="4" name="Kép 4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17-logo-magyar.jpg"/>
                          <pic:cNvPicPr/>
                        </pic:nvPicPr>
                        <pic:blipFill rotWithShape="1"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854075" cy="7584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7F1FF7">
              <w:rPr>
                <w:rFonts w:ascii="Titillium" w:eastAsia="SimSun" w:hAnsi="Titillium" w:cs="Times New Roman"/>
                <w:b/>
                <w:kern w:val="3"/>
                <w:sz w:val="20"/>
                <w:szCs w:val="20"/>
                <w:shd w:val="clear" w:color="auto" w:fill="FFFFFF"/>
              </w:rPr>
              <w:t>Pataki Hanna Tina</w:t>
            </w:r>
          </w:p>
          <w:p w:rsidR="00AC61AA" w:rsidRPr="007F1FF7" w:rsidRDefault="00AC61AA" w:rsidP="007F1FF7">
            <w:pPr>
              <w:suppressAutoHyphens/>
              <w:autoSpaceDN w:val="0"/>
              <w:ind w:left="708"/>
              <w:jc w:val="both"/>
              <w:textAlignment w:val="baseline"/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marketing és PR</w:t>
            </w:r>
          </w:p>
          <w:p w:rsidR="00AC61AA" w:rsidRPr="007F1FF7" w:rsidRDefault="00AC61AA" w:rsidP="007F1FF7">
            <w:pPr>
              <w:suppressAutoHyphens/>
              <w:autoSpaceDN w:val="0"/>
              <w:ind w:left="708"/>
              <w:jc w:val="both"/>
              <w:textAlignment w:val="baseline"/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Telefon: +36 20</w:t>
            </w:r>
            <w:r w:rsidRPr="007F1FF7">
              <w:rPr>
                <w:rFonts w:ascii="Titillium" w:eastAsia="SimSun" w:hAnsi="Titillium" w:cs="Calibri"/>
                <w:kern w:val="3"/>
                <w:sz w:val="20"/>
                <w:szCs w:val="20"/>
                <w:shd w:val="clear" w:color="auto" w:fill="FFFFFF"/>
              </w:rPr>
              <w:t xml:space="preserve"> </w:t>
            </w: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328 6399</w:t>
            </w:r>
          </w:p>
          <w:p w:rsidR="00AC61AA" w:rsidRPr="007F1FF7" w:rsidRDefault="00AC61AA" w:rsidP="007F1FF7">
            <w:pPr>
              <w:suppressAutoHyphens/>
              <w:autoSpaceDN w:val="0"/>
              <w:ind w:left="708"/>
              <w:jc w:val="both"/>
              <w:textAlignment w:val="baseline"/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</w:pPr>
            <w:r w:rsidRPr="007F1FF7">
              <w:rPr>
                <w:rFonts w:ascii="Titillium" w:eastAsia="SimSun" w:hAnsi="Titillium" w:cs="Times New Roman"/>
                <w:kern w:val="3"/>
                <w:sz w:val="20"/>
                <w:szCs w:val="20"/>
                <w:shd w:val="clear" w:color="auto" w:fill="FFFFFF"/>
              </w:rPr>
              <w:t>E-mail: press@deak17galeria.hu</w:t>
            </w:r>
          </w:p>
        </w:tc>
      </w:tr>
    </w:tbl>
    <w:p w:rsidR="005206F9" w:rsidRDefault="005206F9" w:rsidP="003335F4">
      <w:pPr>
        <w:spacing w:line="276" w:lineRule="auto"/>
      </w:pPr>
    </w:p>
    <w:sectPr w:rsidR="005206F9" w:rsidSect="007619C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tillium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1AA"/>
    <w:rsid w:val="003335F4"/>
    <w:rsid w:val="004224C3"/>
    <w:rsid w:val="00461CE3"/>
    <w:rsid w:val="005206F9"/>
    <w:rsid w:val="007619CF"/>
    <w:rsid w:val="007F1FF7"/>
    <w:rsid w:val="008228F2"/>
    <w:rsid w:val="0098047C"/>
    <w:rsid w:val="00AC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17864"/>
  <w15:chartTrackingRefBased/>
  <w15:docId w15:val="{8E94FE99-D18E-4DAE-B618-491E9BE5B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C61A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AC61AA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C61AA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C61AA"/>
    <w:rPr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C61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61AA"/>
    <w:rPr>
      <w:rFonts w:ascii="Segoe UI" w:hAnsi="Segoe UI" w:cs="Segoe UI"/>
      <w:sz w:val="18"/>
      <w:szCs w:val="18"/>
    </w:rPr>
  </w:style>
  <w:style w:type="table" w:customStyle="1" w:styleId="Rcsostblzat1">
    <w:name w:val="Rácsos táblázat1"/>
    <w:basedOn w:val="Normltblzat"/>
    <w:next w:val="Rcsostblzat"/>
    <w:uiPriority w:val="39"/>
    <w:rsid w:val="00AC6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rsid w:val="00AC61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AC61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3335F4"/>
    <w:rPr>
      <w:color w:val="0563C1" w:themeColor="hyperlink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3335F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3335F4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7619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ak17galeria.hu/programok/fakultativ-fenytanorak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deak17galeria.h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deak17galeria.hu/kiallitasok/elt-egyszer-egy" TargetMode="External"/><Relationship Id="rId11" Type="http://schemas.openxmlformats.org/officeDocument/2006/relationships/hyperlink" Target="mailto:dorka.kaposi@gmail.com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www.deak17galeria.hu/palyazatok/last-word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C0A86-F891-4704-A6DA-1C13713C6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388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PRESS</cp:lastModifiedBy>
  <cp:revision>2</cp:revision>
  <dcterms:created xsi:type="dcterms:W3CDTF">2020-10-05T09:28:00Z</dcterms:created>
  <dcterms:modified xsi:type="dcterms:W3CDTF">2020-10-05T09:28:00Z</dcterms:modified>
</cp:coreProperties>
</file>